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сентября 2022 года № 500-р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 на официальном языке (неофициальный перевод):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uwsnulyc1kg4msdusm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Кредитного соглашения (обычные операции на льготных условиях) (Программа продвижения экономической диверсификации - Подпрограмма 3) между Кыргызской Республикой и Азиатским банком развития;</w:t>
      </w:r>
    </w:p>
    <w:p>
      <w:pPr>
        <w:spacing w:after="120"/>
        <w:jc w:val="both"/>
      </w:pPr>
      <w:hyperlink w:history="1" r:id="rIdqzme4gngkyqrg1mkyjp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Грантового соглашения (специальные операции) (Программа продвижения экономической диверсификации - Подпрограмма 3) между Кыргызской Республикой и Азиатским банком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финансов Кыргызской Республики на подписание соглашений, указанных в пункте 1 настоящего распоряжения, с учетом возможных изменений и дополнений непринципиального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КРЕДИТА</w:t>
      </w:r>
      <w:r>
        <w:rPr>
          <w:rFonts w:ascii="Arial" w:cs="Arial" w:eastAsia="Arial" w:hAnsi="Arial"/>
          <w:sz w:val="24"/>
          <w:szCs w:val="24"/>
        </w:rPr>
        <w:t xml:space="preserve"> _______-KGZ (COL)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КРЕДИТНОЕ СОГЛАШЕНИЕ
 (Обычные операции [на льготных условиях]) (Программа продвижения экономической диверсификации - Подпрограмма 3)
 между Кыргызской Республики и Азиатским банком развития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___________________</w:t>
      </w:r>
    </w:p>
    <w:p>
      <w:pPr>
        <w:spacing w:after="240" w:before="240"/>
        <w:jc w:val="right"/>
      </w:pPr>
      <w:r>
        <w:rPr>
          <w:rFonts w:ascii="Arial" w:cs="Arial" w:eastAsia="Arial" w:hAnsi="Arial"/>
          <w:sz w:val="24"/>
          <w:szCs w:val="24"/>
        </w:rPr>
        <w:t xml:space="preserve">KGZ 52225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КРЕДИТНОЕ СОГЛАШЕНИЕ от _________________ между КЫРГЫЗСКОЙ РЕСПУБЛИКОЙ ("Заемщик") и АЗИАТСКИМ БАНКОМ РАЗВИТИЯ ("АБР").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АБР получил от Заемщика письмо о политике развития от 5 августа 2022 года ("Письмо о политике"), в котором излагаются определенные цели, политика и действия, как описано в Приложении 1 к настоящему Кредитному соглашению для подготовки Программы продвижения экономической диверсификации Заемщика ("Программа");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Программа включает в себя третью подпрограмму программного подхода, как описано в пункте 1 Приложения 1 настоящего Кредитного соглашения, ("Программный подход"), и Заемщик обратился в АБР с просьбой о предоставлении кредита для целей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В соответствии с Грантовым соглашением между Заемщиком и АБР ("Грантовое соглашение"), АБР согласился предоставить грант Заемщику из ресурсов Специальных фондов АБР в сумме двадцати пяти миллионов (25000000) ("Грант") для целей финансирования расходов в рамках Программы;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АБР согласился предоставить льготный кредит Заемщику из обычных капитальных ресурсов АБР на условиях, изложенных в настоящем Соглашении;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стороны договариваются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I. Правила предоставления кредита;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1.01. Все положения Правил предоставления кредита на обычные операции (льготных кредитов) АБР от 1 января 2022 года ("Правила предоставления кредита") настоящим применяются к данному Кредитному соглашению с той же силой и действием, как если бы они были полностью изложены в настоящем Соглашении, однако, с учетом следующих изменений: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Раздел 2.01(v) удален и заменен разделом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"Программа" означает программу, для которой АБР дал согласие на выдачу кредита, как описано в Кредитном соглашении и ее описании, и может периодически меняться по согласованию между АБР и Заемщиком;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Термин "Проект", по всему тексту Правил предоставления кредита заменить термином "Программа".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Раздел 2.01(х) удален и заменен разделом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"Исполнительное агентство Программы" означает организацию или организации, ответственные за выполнение Программы, согласно Кредитному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Термин "Исполнительное агентство Проекта" по всему тексту Правил предоставления кредита следует заменить термином "Исполнительное агентство Программы";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Раздел 5.01(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удален.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1.02. Во всех случаях использования в настоящем Кредитном соглашении, несколько терминов, определение которых дается в Правилах предоставления кредита, имеют значения, указанные в настоящем соглашении, если они не будут изменены в данном документе, или если контекст не потребует их иного толкования. Другие термины, используемые в настоящем Кредитном соглашении,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"Средства со-финансирования" - местная валюта, полученная из Кредитных и/или Грантовых средств по Программе и упомянутых в пункте 4 Приложения 4 к настоящему Кредитному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"Депозитный счет" - счет, указанный в пункте 3 Приложения 3 к настоящему Кредитному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"Справочник по расходованию кредитных средств" - Справочник по расходованию кредитных средств АБР (2017 года со всеми последующими изменениями и дополнениями);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"МТСОМ" означает Министерство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"МСХ" означает Министерство сельского хозяйства Кыргызской Республики или любой его правопреемник;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(f) "МЭК" Министерство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) "МОН" Министерство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(h) "МФ" Министерство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"НБКР" означает Национальный банк Кыргызской Республики или любой его правопреемник;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) "НАИ" означает Национальное агентство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) "Действия политики" означает действия политики, согласованные между Заемщиком и АБР, которые выполняются или должны быть выполнены Заемщиком в рамках Программы, как указано в Матрице структуры и мониторинга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) "Матрица структуры и мониторинга политики" означает Матрицу структуры и мониторинга политики, которая определяет действия политики, согласованные между Заемщиком и АБР;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) "Исполнительное агентство Программы" для целей и в значении Правил предоставления кредита означает МФ или любой его правопреемник, приемлемый для АБР, который несет ответственность за реализацию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II. Кредит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2.01. (а) АБР соглашается предоставить Заёмщику из капитальных ресурсов АБР кредит в сумме двадцати пяти миллионов долларов США ($25000000).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Срок погашения основной суммы кредита составляет 16 лет, а льготный период определен в подразделе (с), ниже.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Термин "льготный период", используемый в подразделе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выше, означает период, предшествующий наступлению Даты первой выплаты в счет погашения основной суммы кредита в соответствии с графиком погашения, представленным в Приложении 2 к настоящему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2.02. Заемщик выплачивает АБР проценты, подлежащие уплате в размере 1% в год в течение льготного периода, и после этого 1,5% в год от суммы кредита, снятой со счета Кредита и непогашенного к тому времени остатка.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2.03. Начисляемые проценты и любые другие виды выплат по Кредиту выплачиваются раз в полгода 15 марта и 15 сентября каждый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2.04. Заемщик обязан погасить основную сумму Кредита, снятую со Счета Кредита, в соответствии с графиком погашения, представленным в Приложении 2 к настоящему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2.05. Валютой погашения основной суммы Кредита и валютой выплаты процентов для целей Разделов 4.03(а) и 4.04 Правил предоставления кредита является доллар США.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Использование средств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3.01. Заемщик предпримет меры для того, чтобы средства Кредита применялись исключительно для финансирования расходов по Программе, в соответствии с положениями настоящего Кредитного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3.02. Кредитные средства снимаются в соответствии с условиями Приложения 3 к данному Кредитному соглашению, так как в такое Приложение при необходимости могут вноситься изменения по согласованию между Заемщиком и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3.03. Датой закрытия Кредита для целей Раздела 8.02 Правил предоставления кредита является 31 октября 2023 года или иная дата, которая может периодически согласовываться между Заемщиком и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IV. Особые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4.01. В ходе реализации Программы Заемщик выполнит или обеспечит выполнение всех обязательств, изложенных в Приложении 4 к настоящему Кредитному соглашению.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4.02. В рамках отчетов и информации, упомянутых в Разделе 6.05 Правил предоставления кредита Заемщик предоставляет или обеспечивает предоставление в АБР всех отчетов и информации, которые АБР сочтет нужным затребовать о ходе реализации Программы, включая достижение целей и меры, изложенные в Письме политики.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V. Приостановление; Досрочное погашение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5.01. Следующее определено в качестве дополнительного события для приостановления права Заемщика совершать изъятие средств со счета Кредита для целей раздела 8.01(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) Правил предоставления кредита: Грант подлежит приостановлению и аннулированию.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5.02. Следующее определено в качестве дополнительного события для досрочного взыскания для целей раздела 8.07(d) Правил предоставления кредита: если свершилось событие, определенное в Разделе 5.01 Кредитного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6.01. В качестве дополнительных условий вступления настоящего Кредитного договора в силу для целей, указанных в Разделе 9.01(f) Правил предоставления кредита, указаны следующие: Грантовое соглашение должно быть надлежащим образом оформлено и доставлено от имени Заемщика, и все условия, предшествующие его вступлению в силу (кроме условия, требующего вступления в силу настоящего Кредитного соглашения), должны быть выполнены.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6.02. В качестве дополнительного пункта для целей раздела 9.02(d) Правил предоставления кредита, подлежащего введению в заключение или заключения, представляемые в АБР, указывается следующее: Грантовое соглашение было должным образом утверждено или ратифицировано, оформлено и передано от его имени и является юридически обязательным для Заемщика в соответствии с его условиями, только при условии вступления в силу настоящего Кредитного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6.03. Для целей Раздела 9.04 Правил предоставления кредита, для вступления в силу настоящего Кредитного соглашения устанавливается срок в 90 дней со дня заключения настоящего Кредитного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7.01. Министр финансов Заемщика назначается представителем Заемщика для целей Раздела 11.02 Правил предоставления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7.02. Следующие адреса указаны для целей Раздела 11.01 Правил предоставления кредита: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Заемщик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720040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Бул. Эркиндик, 58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(966) 312-661-645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ADB Avenue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Mandaluyong City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1550 Metro Manila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Philippines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(632) 8636-2444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(632) 8636-2424.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УДОСТОВЕРЕНИЕ ЧЕГО, стороны настоящего Соглашения, действуя через должным образом уполномоченных представителей, поставили свои подписи под настоящим Кредитным соглашением в указанные выше день и год, и доставили настоящее Кредитное соглашение в головной офис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[Имя и должность]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АЗИАТСКОГО БАНКА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        [Имя и должность]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Основная цель Программного подхода состоит в том, чтобы постепенно диверсифицировать экономику Заемщика от использования природных ресурсов и потребления за счет денежных переводов, и включает в себя следующие направления: (а) повышение торговой и инвестиционной конкурентоспособности,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развитие малых и средних предприятий, (с) развитие государственно-частного партнерства, (d) развитие профессиональных навыков, связанных с отраслями и (е) повышение устойчивой финансовой и социальной защиты для обеспечения восстановления после коронавирусной болезни. Программный подход состоит из 3 подпрограмм, и Программа является третьей подпрограммой. Программа более подробно описана в Письме о политике и Матрице структуры и мониторинга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Программа завершена на 31 августа 2022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 погашения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Причитающийся платеж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Выплата основного долга(1)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Заплатить до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основного долга
 (выражено в долларах)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Марта 2046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Сентября 2046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781,250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25,000,000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*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sz w:val="24"/>
          <w:szCs w:val="24"/>
        </w:rPr>
        <w:t xml:space="preserve">Договоренности о выплатах при наступлении каждого срока погашения заключаются в соответствии с положениями Разделов 3.04 и 4.03 Правил предоставления кредита.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Снятие средств кредита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исключением случаев, предусмотренных в настоящем Приложении или в отсутствие иных договоренностей с АБР, средства Кредита выплачиваются в соответствии со Справочником по расходованию кредитных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Заемщик представляет в АБР заявку на снятие средств со счета Кредита в форме, приемлемой для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(а) До подачи первой заявки в АБР для снятия средств со счета Кредита, Заемщик открывает счет (Депозитный счет) в НБКР, на который зачисляются все снимаемые средства со счета Кредита. Депозитный счет открывается, управляется и ликвидируется в соответствии с применимыми правилами и процедурами Заемщика.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Отдельные счета и записи в отношении Депозитного счета должны вестись в соответствии с принципами бухгалтерского учета, приемлемыми для АБР. По запросу АБР Заемщик должен иметь финансовые отчеты по Депозитному счету, проверенные независимыми аудиторами, чья квалификация, опыт и круг полномочий приемлемы для АБР, в соответствии с международными стандартами аудита или национальным эквивалентом, приемлемым для АБР. Сразу после их подготовки, но в любом случае не позднее, чем через 6 месяцев после даты запроса АБР, копии таких проверенных финансовых отчетов и заключение аудиторов о финансовых отчетах на английском языке предоставляются в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Кредитные средства не могут быть сняты со счета для финансирования любого товара, указанного в Дополнении к настоящему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Несмотря на любые другие положения настоящего Кредитного соглашения и за исключением случаев, когда АБР может договориться об ином, никакое снятие средств со счета Кредита не производится, если (i) Заемщик выполнил Действия политики для выдачи средств Кредита, и если (ii) эти Действия политики утратили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Дополнение к Приложению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неправомочных статей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Кредитные средств не могут сниматься для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расходы, связанные с товарами, включенными в следующие группы или подгруппы Международной стандартной торговой классификации ООН (3-я редакция МСТК) или в группы либо подгруппы, входящие в последующие редакции МСТК, о которых АБР известит Заемщика: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Таблица: Неприемлемые статьи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8"/>
        <w:gridCol w:w="1282"/>
        <w:gridCol w:w="8057"/>
      </w:tblGrid>
      <w:tr>
        <w:tc>
          <w:tcPr>
            <w:tcW w:type="dxa" w:w="83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</w:p>
        </w:tc>
        <w:tc>
          <w:tcPr>
            <w:tcW w:type="dxa" w:w="12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Заголовок</w:t>
            </w:r>
          </w:p>
        </w:tc>
        <w:tc>
          <w:tcPr>
            <w:tcW w:type="dxa" w:w="8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статей</w:t>
            </w:r>
          </w:p>
        </w:tc>
      </w:tr>
      <w:tr>
        <w:tc>
          <w:tcPr>
            <w:tcW w:type="dxa" w:w="8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Алкогольные напитки</w:t>
            </w:r>
          </w:p>
        </w:tc>
      </w:tr>
      <w:tr>
        <w:tc>
          <w:tcPr>
            <w:tcW w:type="dxa" w:w="8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неготовый; табачные отходы</w:t>
            </w:r>
          </w:p>
        </w:tc>
      </w:tr>
      <w:tr>
        <w:tc>
          <w:tcPr>
            <w:tcW w:type="dxa" w:w="8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готовый (содержащий или не содержащий табачные заменители)</w:t>
            </w:r>
          </w:p>
        </w:tc>
      </w:tr>
      <w:tr>
        <w:tc>
          <w:tcPr>
            <w:tcW w:type="dxa" w:w="8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Радиоактивные и связанные с ними материалы</w:t>
            </w:r>
          </w:p>
        </w:tc>
      </w:tr>
      <w:tr>
        <w:tc>
          <w:tcPr>
            <w:tcW w:type="dxa" w:w="8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Жемчуг, драгоценные и полудрагоценные камни, необработанные или обработанные</w:t>
            </w:r>
          </w:p>
        </w:tc>
      </w:tr>
      <w:tr>
        <w:tc>
          <w:tcPr>
            <w:tcW w:type="dxa" w:w="8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718.7</w:t>
            </w:r>
          </w:p>
        </w:tc>
        <w:tc>
          <w:tcPr>
            <w:tcW w:type="dxa" w:w="8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Ядерные реакторы и их детали, тепловыделяющие элементы (кассеты), необлученные для ядерных реакторов</w:t>
            </w:r>
          </w:p>
        </w:tc>
      </w:tr>
      <w:tr>
        <w:tc>
          <w:tcPr>
            <w:tcW w:type="dxa" w:w="8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728.43</w:t>
            </w:r>
          </w:p>
        </w:tc>
        <w:tc>
          <w:tcPr>
            <w:tcW w:type="dxa" w:w="8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подготовки или обработки табака</w:t>
            </w:r>
          </w:p>
        </w:tc>
      </w:tr>
      <w:tr>
        <w:tc>
          <w:tcPr>
            <w:tcW w:type="dxa" w:w="83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897.3</w:t>
            </w:r>
          </w:p>
        </w:tc>
        <w:tc>
          <w:tcPr>
            <w:tcW w:type="dxa" w:w="80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серебра и металлов платиновой группы (кроме наручных часов и корпусов для наручных часов) и золотые или серебряные изделия (включая драгоценные камни в оправе)</w:t>
            </w:r>
          </w:p>
        </w:tc>
      </w:tr>
      <w:tr>
        <w:tc>
          <w:tcPr>
            <w:tcW w:type="dxa" w:w="83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  <w:tc>
          <w:tcPr>
            <w:tcW w:type="dxa" w:w="1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немонетарное (кроме золотой руды и концентратов)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Организация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расходы, связанные с товарами, поставленными на основе контрактов, которые будут финансироваться национальными или международными финансовыми организациями или агентствами, или согласованы для финансирования, включая все контракты, финансируемые в рамках кредитов или грантов от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(iii) расходы, связанные с товарами, предназначенными для военных или полувоенных целей, или с предметами роскоши;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(iv) расходы на наркотики;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(v) расходы на экологически опасные материалы, производство, использование или импорт которых запрещен в соответствии с законодательством Заемщика или с международными соглашениями, к которым присоединился Заемщик;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(vi) расходы, связанные с платежами, запрещенными Заемщиком в соответствии с решением Совета Безопасности Организации Объединенных Наций, принятым в соответствии с Главой VII Устава Организации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Реализация программы и другие вопросы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Механизмы реализации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финансов является Исполнительным агентством Программы Заемщика и Реализующим агентством Программы. МЭК, МОН, МСХ, МТСОМ и НАИ будут Исполнительными агентствами Программы. Заемщик через Исполнительное агентство Программы и реализующие агентства несет ответственность за реализацию Программы, включая мониторинг и отчетность по реализации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Действия политики и диалог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Заемщик обеспечивает, чтобы все действия политики, принятые в рамках Программы, продолжали иметь силу в течение всего срока действия Программного подхода.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Заемщик информирует АБР об обсуждениях политики с другими многосторонними и двусторонними агентствами помощи, которые могут иметь последствия для реализации Программы, и предоставляет АБР возможность прокомментировать любые вытекающие предложения по политике. Заемщик принимает во внимание мнение АБР до завершения разработки и реализации любого такого предложения.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встречных средств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Заемщик обеспечивает использование встречных средств для финансирования реализации определенных программ и мероприятий, соответствующих целям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 и борьба с коррупцией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Заемщик, Исполнительное агентство и исполнительные агентства Программы должны (а) соблюдать Антикоррупционную политику АБР (1998 г., со всеми изменениями и дополнениями) и признать, что АБР оставляет за собой право проводить расследование напрямую или через своих агентов в отношении любых предполагаемых коррупционных и мошеннических действий, сговор или принуждение в отношении Программы; и 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сотрудничать с любым таким расследованием и оказывать всю необходимую помощь для удовлетворительного завершения такого расследования.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Мониторинг и анализ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Заемщик обеспечивает, чтобы отчетность о воздействии Программы после завершения Программы была предоставлена Исполнительным агентством Программы в АБР. Исполнительное агентство программы, по мере необходимости, проводит консультативные встречи с заинтересованными сторонами и сообществом партнеров по развитию, чтобы получить их отзывы о новых правилах и влиянии Программного подхода.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Заемщик и АБР совместно оценивают воздействие и оценивают преимущества Программы в течение 12 месяцев после Даты вступления в силу, в соответствии с системой управления эффективностью АБР. Заемщик и АБР могут использовать результаты такого анализа и оценки при усовершенствовании Программного подхода.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Заемщик составляет и представляет в АБР полугодовые консолидированные отчеты о ходе реализации политических и институциональных реформ в рамках Программного подхода и о любых изменениях в графике реализации, а также указывает любые возникшие проблемы и принятые меры по исправлению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НОМЕР ГРАНТА _________-KGZ (SF)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ГРАНТОВОЕ СОГЛАШЕНИЕ
 (Специальные операции) (Программа продвижения экономической диверсификации - Подпрограмма 3)
 между Кыргызской Республикой и Азиатским банком развития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___________________</w:t>
      </w:r>
    </w:p>
    <w:p>
      <w:pPr>
        <w:spacing w:after="240" w:before="24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KGZ 52225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ГРАНТОВОЕ СОГЛАШЕНИЕ от ___________________ между Кыргызской Республикой ("Получатель") и Азиатским банком развития ("АБР"),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(A) АБР получил от Получателя письмо о политике развития от 5 августа 2022 года ("Письмо о политике"), в котором излагаются определенные цели, политика и действия, описанные в Приложении 1 Кредитного соглашения (как описано ниже), которое было разработано с целью подготовки Программы продвижения экономической диверсификации в стране Получателя ("Программа");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Программа включает в себя третью подпрограмму программного подхода, как описано в пункте 1 Приложения 1 Кредитного соглашения, (как определено ниже) ("Программный подход"), и Получатель обратился в АБР с просьбой о предоставлении гранта для целей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Путем заключения кредитного соглашения между Получателем и АБР ("Кредитное соглашение"), АБР согласился предоставить Получателю льготный кредит из обычных капитальных ресурсов АБР в размере двадцати пяти миллионов долларов (25000000 долларов США) для целей Программы ("Кредит"); а также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АБР согласился предоставить грант Получателю из ресурсов Специальных фондов АБР на условиях, сформулированных в настоящем документе;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стороны договариваются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I. Правила предоставления гранта;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1.01. Все положения Правил предоставления гранта по Специальным операциям АБР в редакции, принятой 1 января 2022 года ("Правила предоставления гранта"), применимы к данному Грантовому соглашению в той же силе и том же объеме, как если бы они были полностью изложены в настоящем Соглашении, однако, с учетом следующих изменений: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(а) Раздел 2.01(I) удален и заменен разделом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"Программа" означает программу, для которой АБР дал согласие на выдачу Гранта, как описано в Грантовом соглашении и ее описании, и может периодически меняться по согласованию между АБР и Получателем;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(b) Термин "Проект", по всему тексту Правил предоставления гранта следует заменить термином "Программа".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(c) Раздел 2.01(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) удален и заменен разделом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"Исполнительное агентство Программы" означает организацию или организации, ответственные за выполнение Программы, согласно Грантовому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(d) Термин "Исполнительное агентство Проекта" по всему тексту Правил предоставления гранта следует заменить термином "Исполнительное агентство Программы";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(e) Раздел 5.01(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удален.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1.02. Во всех случаях использования в настоящем Грантовом соглашении, отдельные термины, определение которых дается в Правилах предоставления гранта, имеют значения, указанные в настоящем Грантовом соглашении, если они не будут изменены в данном документе, или если контекст не потребует их иного толкования. Дополнительные термины, используемые в Грантовом Соглашении, имеют следующее значение: "Депозитный счет" - счет, указанный в пункте 3 Приложения к настоящему Грантовому соглашению.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II. Грант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2.01. АБР согласен предоставить Получателю средства из Специальных фондов АБР в размере двадцати пяти миллионов (25000000) долларов США на срок и на условиях, изложенных в данном Грантовом соглашении.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III. Использование средств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3.01. Получатель обеспечивает использование средств Гранта на финансирование расходов по Программе в соответствии с положениями настоящего Грантового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3.02. Средства Гранта должны сниматься в соответствии с положениями Приложения к настоящему Грантовому соглашению, а в само Приложение могут периодически вноситься поправки по согласованию между Получателем и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3.03. Датой закрытия Гранта для целей раздела 8.02 Правил предоставления гранта является 31 октября 2023 года или другая дата, которая, в случае необходимости, может быть согласована между Получателем и АБР.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IV. Особые условия [ковенанты]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4.01. При выполнении Программы Получатель должен исполнить или обеспечить исполнение всех обязательств, изложенных в Приложении 4 Кредитного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4.02. В рамках отчетов и информации, упомянутых в Разделе 6.04 Правил предоставления гранта Получатель предоставляет или обеспечивает предоставление в АБР всех отчетов и информации, которые АБР сочтет нужным затребовать о ходе реализации Программы, включая достижение целей и выполнение Действий политики.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V. Приостановление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5.01. Следующее определено в качестве дополнительного события для приостановления права Получателя совершать снятия средств со счета Гранта для целей, указанных в Разделе 8.01(</w:t>
      </w: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) Правил предоставления гранта или аннулирование Гранта в соответствии с Разделом 8.02 Правил предоставления гранта: Кредит по Кредитному соглашению подлежит приостановке или аннулированию, или подлежит погашению до согласованной даты погашения.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VI. Вступление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6.01. В качестве дополнительных условий для вступления в силу настоящего Грантового соглашения для целей, указанных в Разделе 9.01 Е) Правил предоставления гранта указываются следующие: Кредитное соглашение должно быть надлежащим образом оформлено и доставлено от имени Получателя, и все условия, предшествующие его вступлению в силу (кроме условия, требующего вступления в силу настоящего Грантового соглашения), должны быть выполнены.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6.02. В качестве дополнительного пункта для целей раздела 9.02(d) Правил предоставления гранта, подлежащего введению в заключение или заключения, представляемые в АБР, указывается следующее: Кредитное соглашение было должным образом утверждено или ратифицировано, оформлено и передано от его имени и является юридически обязательным для Заемщика в соответствии с его условиями, только при условии вступления в силу настоящего Грантового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6.03. Для целей Раздела 9.04 Правил предоставления грантов, для вступления в силу настоящего Грантового соглашения устанавливается срок в 90 дней со дня заключения настоящего Грантового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VII. Прочие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7.01. Министр финансов Получателя назначается представителем Получателя для целей Раздела 11.02 Правил предоставления гранта.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7.02. Следующие адреса указаны для целей Раздела 11.01 Правил предоставления гранта: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Получатель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Бульвар Эркиндик,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720040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(996) 312 661 645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 ADB Avenue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Mandaluyong City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1550 Metro Manila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Philippines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Факс: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(632) 8636-2444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(632) 8636-2424.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УДОСТОВЕРЕНИЕ ЧЕГО, стороны настоящего Соглашения, действуя через должным образом уполномоченных представителей, поставили свои подписи под настоящим Грантовым соглашением в указанные выше день и год, и доставили настоящее Грантовое соглашение в головной офис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         [Имя и должность]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АЗИАТСКОГО БАНКА РАЗВИТИЯ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                    [Имя и должность]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ГРАФИК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Распределение и снятие средств Гранта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исключением случаев, указанных в настоящем Приложении или в отсутствие иных договоренностей с АБР, средства Гранта должны выплачиваться в соответствии со Справочником по расходованию кредитных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Заявка на снятие средств с Грантового счета должна быть представлена Получателем в АБР в форме, приемлемой для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(а) До подачи в АБР первой заявки на снятие средств с Грантового счета Получатель указывает счет (Депозитный счет) в НБКР, на который будут зачисляться все средства для снятия с Грантового счета. Депозитный счет открывается, используется и закрывается в соответствии с условиями и процедурами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) В отношении депозитного счета ведется отдельный учет и документация в соответствии с принципами бухгалтерского учета, приемлемыми для АБР. По требованию АБР Получатель обеспечивает проверку финансовой отчетности по Депозитному счету независимыми аудиторами, квалификация, опыт и техническое задание которых будут приемлемыми для АБР, в соответствии с международными стандартами аудита или эквивалентными национальными стандартами аудита, приемлемыми для АБР. Сразу после их подготовки, но в любом случае не позднее, чем через 6 месяцев после даты получения запроса АБР, копии таких проверенных аудиторами финансовых отчетов и заключений аудиторов в отношении финансовой отчетности на английском языке представляются в АБР.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Грантовые средства не могут сниматься со счета и использоваться для финансирования любого из товаров, указанных в Дополнении к настоящему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Несмотря на любые другие положения настоящего Грантового соглашения и за исключением случаев, когда АБР может договориться об ином, снятия средств с Грантового счета не производится, если (i) Получатель не выполнил Действия политики для выдачи средств Гранта, или (ii) если Программные действия продолжают действовать.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Дополнение к Приложению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неправомочных статей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Грантовые средств не могут сниматься для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(i) расходы, связанные с товарами, включенными в следующие группы или подгруппы Международной стандартной торговой классификации ООН (3-я редакция МСТК) или в группы либо подгруппы, входящие в последующие редакции МСТК, о которых АБР известит Получателя: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Таблица: Неприемлемые товары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5"/>
        <w:gridCol w:w="1254"/>
        <w:gridCol w:w="7969"/>
      </w:tblGrid>
      <w:tr>
        <w:tc>
          <w:tcPr>
            <w:tcW w:type="dxa" w:w="9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Позиция</w:t>
            </w:r>
          </w:p>
        </w:tc>
        <w:tc>
          <w:tcPr>
            <w:tcW w:type="dxa" w:w="7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Описание товаров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Алкогольные напитки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Табак, неготовый; табачные отходы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 готовый (содержащий или не содержащий табачные заменители)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Радиоактивные и связанные с ними материалы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667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Жемчуг, драгоценные и полудрагоценные камни, необработанные или обработанные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718.7</w:t>
            </w:r>
          </w:p>
        </w:tc>
        <w:tc>
          <w:tcPr>
            <w:tcW w:type="dxa" w:w="7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Ядерные реакторы и их детали; тепловыделяющие элементы (кассеты), необлученные, для ядерных реакторов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728.43</w:t>
            </w:r>
          </w:p>
        </w:tc>
        <w:tc>
          <w:tcPr>
            <w:tcW w:type="dxa" w:w="7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для подготовки или обработки табака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897.3</w:t>
            </w:r>
          </w:p>
        </w:tc>
        <w:tc>
          <w:tcPr>
            <w:tcW w:type="dxa" w:w="79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Ювелирные изделия из золота, серебра и металлов платиновой группы (кроме наручных часов и корпусов для наручных часов) и золотые или серебряные изделия (включая драгоценные камни в оправе)</w:t>
            </w:r>
          </w:p>
        </w:tc>
      </w:tr>
      <w:tr>
        <w:tc>
          <w:tcPr>
            <w:tcW w:type="dxa" w:w="9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Золото, немонетарное (за исключением золотой руды и концентратов)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Источник: Организация Объединенных Наций.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(ii) расходы, связанные с товарами, поставленными на основе контрактов, которые будут финансироваться национальными или международными финансовыми организациями или агентствами, или согласованы для финансирования, включая все контракты, финансируемые в рамках кредитов или грантов от АБР;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) расходы, связанные с товарами, предназначенными для военных или полувоенных целей, или с предметами роскоши;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(iv) расходы на наркотики;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(v) расходы на экологически опасные материалы, производство, использование или импорт которых запрещен в соответствии с законодательством Получателя или с международными соглашениями, к которым присоединился Получатель,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(vi) расходы, связанные с платежами, запрещенными Получателем в соответствии с решением Совета Безопасности Организации Объединенных Наций, принятым в соответствии с Главой VII Устава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zoprhmytgqm2xfiolr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dalil.kg/document/219228</w:t>
      </w:r>
    </w:hyperlink>
  </w:p>
  <w:p>
    <w:pPr>
      <w:spacing w:after="0" w:before="40"/>
      <w:jc w:val="center"/>
    </w:pPr>
    <w:hyperlink w:history="1" r:id="rIdewpeurrapzdjgwndydv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wsnulyc1kg4msdusm0f" Type="http://schemas.openxmlformats.org/officeDocument/2006/relationships/hyperlink" Target="https://dalil.kg/document/219228#pr1" TargetMode="External"/><Relationship Id="rIdqzme4gngkyqrg1mkyjp33" Type="http://schemas.openxmlformats.org/officeDocument/2006/relationships/hyperlink" Target="https://dalil.kg/document/219228#pr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zoprhmytgqm2xfiolray" Type="http://schemas.openxmlformats.org/officeDocument/2006/relationships/hyperlink" Target="https://dalil.kg/document/219228" TargetMode="External"/><Relationship Id="rIdewpeurrapzdjgwndydv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2026-09-29T00:58:25.888Z</dcterms:created>
  <dcterms:modified xsi:type="dcterms:W3CDTF">2026-09-29T00:58:25.888Z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