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22 сентября 2022 года № 501-р</w:t>
      </w:r>
    </w:p>
    <w:p>
      <w:pPr>
        <w:spacing w:after="120"/>
        <w:jc w:val="both"/>
      </w:pPr>
      <w:r>
        <w:rPr>
          <w:rFonts w:ascii="Arial" w:cs="Arial" w:eastAsia="Arial" w:hAnsi="Arial"/>
          <w:sz w:val="24"/>
          <w:szCs w:val="24"/>
        </w:rPr>
        <w:t xml:space="preserve">В целях расширения географии взаимных поездок граждан, владельцев дипломатических, служебных и общегражданских паспортов Кыргызской Республики и Мальдивской Республики, в соответствии со статьями </w:t>
      </w:r>
      <w:hyperlink w:history="1" r:id="rIdu_rgon8szoprgyjxrzfdg">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go-jpkj7lzxv95uxp-en5">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w:t>
      </w:r>
      <w:hyperlink w:history="1" r:id="rIdbdkhej2x9f8plfyzi-z4x">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1. Одобрить прилагаемый </w:t>
      </w:r>
      <w:hyperlink w:history="1" r:id="rIdjmeqtje3qj7b_keuaxu9o">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Мальдивской Республики о взаимном освобождении от визовых требований,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2. Уполномочить Постоянного представителя Кыргызской Республики при Организации Объединенных Наций в г.Нью-Йорк на подписание вышеуказанного проекта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СОГЛАШЕНИЕ</w:t>
      </w:r>
      <w:r>
        <w:rPr>
          <w:rFonts w:ascii="Arial" w:cs="Arial" w:eastAsia="Arial" w:hAnsi="Arial"/>
          <w:b/>
          <w:bCs/>
          <w:sz w:val="24"/>
          <w:szCs w:val="24"/>
        </w:rPr>
        <w:t xml:space="preserve">
 между Кабинетом Министров Кыргызской Республики и Правительством Мальдивской Республики о взаимном освобождении от визовых требований</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Мальдивской Республики, именуемые в дальнейшем по отдельности "Сторона", а вместе - "Стороны",</w:t>
      </w:r>
    </w:p>
    <w:p>
      <w:pPr>
        <w:spacing w:after="60"/>
        <w:ind w:firstLine="567"/>
        <w:jc w:val="both"/>
      </w:pPr>
      <w:r>
        <w:rPr>
          <w:rFonts w:ascii="Arial" w:cs="Arial" w:eastAsia="Arial" w:hAnsi="Arial"/>
          <w:sz w:val="24"/>
          <w:szCs w:val="24"/>
        </w:rPr>
        <w:t xml:space="preserve">стремясь содействовать развитию дружеских отношений между двумя странами,</w:t>
      </w:r>
    </w:p>
    <w:p>
      <w:pPr>
        <w:spacing w:after="60"/>
        <w:ind w:firstLine="567"/>
        <w:jc w:val="both"/>
      </w:pPr>
      <w:r>
        <w:rPr>
          <w:rFonts w:ascii="Arial" w:cs="Arial" w:eastAsia="Arial" w:hAnsi="Arial"/>
          <w:sz w:val="24"/>
          <w:szCs w:val="24"/>
        </w:rPr>
        <w:t xml:space="preserve">намереваясь облегчить поездки граждан на территорию двух стран,</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1. Граждане государства одной Стороны освобождаются от визовых требований для въезда, выезда, транзита и временного пребывания на территории государства другой Стороны на основании действительных проездных документов, перечисленных в Приложении, которое является неотъемлемой частью настоящего Соглашения, при условии, что продолжительность каждого периода пребывания не превышает 30 (тридцати) дней с момента их въезда.</w:t>
      </w:r>
    </w:p>
    <w:p>
      <w:pPr>
        <w:spacing w:after="60"/>
        <w:ind w:firstLine="567"/>
        <w:jc w:val="both"/>
      </w:pPr>
      <w:r>
        <w:rPr>
          <w:rFonts w:ascii="Arial" w:cs="Arial" w:eastAsia="Arial" w:hAnsi="Arial"/>
          <w:sz w:val="24"/>
          <w:szCs w:val="24"/>
        </w:rPr>
        <w:t xml:space="preserve">2. Граждане государства одной Стороны, имеющие действительные проездные документы, перечисленные в Приложении к настоящему Соглашению, намеревающиеся находиться на территории государства другой Стороны дольше максимального срока, предусмотренного пунктом 1 настоящей статьи, либо работать или учиться в образовательном учреждении, или вести бизнес на территории государства другой Стороны, обязаны получить соответствующую визу в соответствии с законодательством государства другой Стороны.</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Граждане государства одной Стороны въезжают и выезжают с территории государства другой Стороны через пункты пропуска, открытые для международного сообщения, в соответствии с законодательством государства другой Стороны.</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Настоящее Соглашение не ограничивает права компетентных органов государства одной Стороны отказывать во въезде или разрешении на пребывание гражданам государства другой Стороны по соображениям национальной безопасности, общественного порядка или охраны здоровья населения в соответствии с законодательством их государства.</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Граждане государства одной из Сторон в случае утери или повреждения действительных проездных документов во время пребывания на территории государства другой Стороны покидают территорию этого государства на основании новых действительных проездных документов, выданных им дипломатическим представительством или консульским учреждением государства Стороны, гражданами которого они являются, при соблюдении визовых требований.</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Граждане государства одной Стороны, которые не могут покинуть территорию другой Стороны в течение 30 (тридцати) дней с даты их въезда или в течение срока действия их визы или разрешения на пребывание по причинам форс-мажорных обстоятельств, должны продлить визу или разрешение на пребывание, в соответствии с применимым законодательством государства другой Стороны на срок, необходимый для их возвращения в страну, гражданами которой они являются, или в страну своего постоянного проживания, при представлении документального подтверждения компетентному органу государства другой Стороны.</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1. Стороны обмениваются по дипломатическим каналам образцами своих действительных проездных документов, перечисленных в Приложении к настоящему Соглашению, не позднее 30 (тридцати) дней после даты подписания настоящего Соглашения.</w:t>
      </w:r>
    </w:p>
    <w:p>
      <w:pPr>
        <w:spacing w:after="60"/>
        <w:ind w:firstLine="567"/>
        <w:jc w:val="both"/>
      </w:pPr>
      <w:r>
        <w:rPr>
          <w:rFonts w:ascii="Arial" w:cs="Arial" w:eastAsia="Arial" w:hAnsi="Arial"/>
          <w:sz w:val="24"/>
          <w:szCs w:val="24"/>
        </w:rPr>
        <w:t xml:space="preserve">2. В случае введения новых проездных документов, перечисленных в Приложении к настоящему Соглашению, или изменения существующих, Стороны незамедлительно информируют друг друга и направляют друг другу по дипломатическим каналам образцы этих проездных документов, а также информацию, касающуюся их применения, не позднее, чем за 30 (тридцать) календарных дней до их официального введения.</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1. В целях защиты своей национальной безопасности, общественного порядка или здоровья населения любая из Сторон имеет право временно, полностью или частично приостановить действие настоящего Соглашения. Уведомление о временном приостановлении настоящего Соглашения направляется другой Стороне по дипломатическим каналам не позднее, чем за 48 (сорок восемь) часов до его приостановления.</w:t>
      </w:r>
    </w:p>
    <w:p>
      <w:pPr>
        <w:spacing w:after="60"/>
        <w:ind w:firstLine="567"/>
        <w:jc w:val="both"/>
      </w:pPr>
      <w:r>
        <w:rPr>
          <w:rFonts w:ascii="Arial" w:cs="Arial" w:eastAsia="Arial" w:hAnsi="Arial"/>
          <w:sz w:val="24"/>
          <w:szCs w:val="24"/>
        </w:rPr>
        <w:t xml:space="preserve">2. Сторона, решившая временно приостановить действие настоящего Соглашения по основаниям, указанным в пункте 1 настоящей статьи, незамедлительно уведомляет другую Сторону аналогичным образом после возобновления действия настоящего Соглашения.</w:t>
      </w:r>
    </w:p>
    <w:p>
      <w:pPr>
        <w:spacing w:after="60"/>
        <w:ind w:firstLine="567"/>
        <w:jc w:val="both"/>
      </w:pPr>
      <w:r>
        <w:rPr>
          <w:rFonts w:ascii="Arial" w:cs="Arial" w:eastAsia="Arial" w:hAnsi="Arial"/>
          <w:sz w:val="24"/>
          <w:szCs w:val="24"/>
        </w:rPr>
        <w:t xml:space="preserve">3. Приостановление в соответствии с пунктом 1 настоящей статьи не затрагивает прав граждан государства другой Стороны, находящихся на территории государства Стороны, осуществляющей приостановление действия настоящего Соглашения.</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Любые разногласия между Сторонами относительно толкования или применения настоящего Соглашения разрешаются путем консультаций и переговоров между Сторонами.</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1. Настоящее Соглашение заключается на неопределенный срок и вступает в силу через тридцать (30) дней со дня получения последнего письменного уведомления по дипломатическим каналам, которым Стороны уведомляют друг друга о выполнении всех требований, необходимых в соответствии с их национальным законодательством для вступления в силу настоящего Соглашения.</w:t>
      </w:r>
    </w:p>
    <w:p>
      <w:pPr>
        <w:spacing w:after="60"/>
        <w:ind w:firstLine="567"/>
        <w:jc w:val="both"/>
      </w:pPr>
      <w:r>
        <w:rPr>
          <w:rFonts w:ascii="Arial" w:cs="Arial" w:eastAsia="Arial" w:hAnsi="Arial"/>
          <w:sz w:val="24"/>
          <w:szCs w:val="24"/>
        </w:rPr>
        <w:t xml:space="preserve">2. Настоящее Соглашение может быть изменено по взаимному согласию Сторон. Любые поправки, согласованные Сторонами, должны быть оформлены в письменной форме и будут рассматриваться как неотъемлемая часть настоящего Соглашения. Любые поправки вступают в силу в порядке, предусмотренном данными поправками.</w:t>
      </w:r>
    </w:p>
    <w:p>
      <w:pPr>
        <w:spacing w:after="60"/>
        <w:ind w:firstLine="567"/>
        <w:jc w:val="both"/>
      </w:pPr>
      <w:r>
        <w:rPr>
          <w:rFonts w:ascii="Arial" w:cs="Arial" w:eastAsia="Arial" w:hAnsi="Arial"/>
          <w:sz w:val="24"/>
          <w:szCs w:val="24"/>
        </w:rPr>
        <w:t xml:space="preserve">3. Любая из Сторон может прекратить действие настоящего Соглашения в любое время, направив письменное уведомление другой Стороне по дипломатическим каналам. В этом случае действие Соглашения прекращается по истечении девяноста (90) дней со дня получения уведомления о расторжении другой Стороной.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 _________________ "___" ______________________ 202__ года в двух подлинных экземплярах, каждый на кыргызском, русском и английском языках, причем все тексты имеют одинаковую силу. В случае расхождения в толковании положений настоящего Соглашения, текст на английском языке будет иметь преимущественную силу.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Мальдивской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 Список проездных документов, выдаваемых гражданам Кыргызской Республики:</w:t>
      </w:r>
    </w:p>
    <w:p>
      <w:pPr>
        <w:spacing w:after="60"/>
        <w:ind w:firstLine="567"/>
        <w:jc w:val="both"/>
      </w:pPr>
      <w:r>
        <w:rPr>
          <w:rFonts w:ascii="Arial" w:cs="Arial" w:eastAsia="Arial" w:hAnsi="Arial"/>
          <w:sz w:val="24"/>
          <w:szCs w:val="24"/>
        </w:rPr>
        <w:t xml:space="preserve">1. Дипломатический паспорт</w:t>
      </w:r>
    </w:p>
    <w:p>
      <w:pPr>
        <w:spacing w:after="60"/>
        <w:ind w:firstLine="567"/>
        <w:jc w:val="both"/>
      </w:pPr>
      <w:r>
        <w:rPr>
          <w:rFonts w:ascii="Arial" w:cs="Arial" w:eastAsia="Arial" w:hAnsi="Arial"/>
          <w:sz w:val="24"/>
          <w:szCs w:val="24"/>
        </w:rPr>
        <w:t xml:space="preserve">2. Служебный паспорт</w:t>
      </w:r>
    </w:p>
    <w:p>
      <w:pPr>
        <w:spacing w:after="60"/>
        <w:ind w:firstLine="567"/>
        <w:jc w:val="both"/>
      </w:pPr>
      <w:r>
        <w:rPr>
          <w:rFonts w:ascii="Arial" w:cs="Arial" w:eastAsia="Arial" w:hAnsi="Arial"/>
          <w:sz w:val="24"/>
          <w:szCs w:val="24"/>
        </w:rPr>
        <w:t xml:space="preserve">3. Общегражданский паспорт</w:t>
      </w:r>
    </w:p>
    <w:p>
      <w:pPr>
        <w:spacing w:after="60"/>
        <w:ind w:firstLine="567"/>
        <w:jc w:val="both"/>
      </w:pPr>
      <w:r>
        <w:rPr>
          <w:rFonts w:ascii="Arial" w:cs="Arial" w:eastAsia="Arial" w:hAnsi="Arial"/>
          <w:sz w:val="24"/>
          <w:szCs w:val="24"/>
        </w:rPr>
        <w:t xml:space="preserve">4. Свидетельство на возвращение в Кыргызскую Республику</w:t>
      </w:r>
    </w:p>
    <w:p>
      <w:pPr>
        <w:spacing w:after="60"/>
        <w:ind w:firstLine="567"/>
        <w:jc w:val="both"/>
      </w:pPr>
      <w:r>
        <w:rPr>
          <w:rFonts w:ascii="Arial" w:cs="Arial" w:eastAsia="Arial" w:hAnsi="Arial"/>
          <w:sz w:val="24"/>
          <w:szCs w:val="24"/>
        </w:rPr>
        <w:t xml:space="preserve">Б. Список проездных документов, выдаваемых гражданам Мальдивской Республики:</w:t>
      </w:r>
    </w:p>
    <w:p>
      <w:pPr>
        <w:spacing w:after="60"/>
        <w:ind w:firstLine="567"/>
        <w:jc w:val="both"/>
      </w:pPr>
      <w:r>
        <w:rPr>
          <w:rFonts w:ascii="Arial" w:cs="Arial" w:eastAsia="Arial" w:hAnsi="Arial"/>
          <w:sz w:val="24"/>
          <w:szCs w:val="24"/>
        </w:rPr>
        <w:t xml:space="preserve">1. Дипломатический паспорт</w:t>
      </w:r>
    </w:p>
    <w:p>
      <w:pPr>
        <w:spacing w:after="60"/>
        <w:ind w:firstLine="567"/>
        <w:jc w:val="both"/>
      </w:pPr>
      <w:r>
        <w:rPr>
          <w:rFonts w:ascii="Arial" w:cs="Arial" w:eastAsia="Arial" w:hAnsi="Arial"/>
          <w:sz w:val="24"/>
          <w:szCs w:val="24"/>
        </w:rPr>
        <w:t xml:space="preserve">2. Официальный паспорт</w:t>
      </w:r>
    </w:p>
    <w:p>
      <w:pPr>
        <w:spacing w:after="60"/>
        <w:ind w:firstLine="567"/>
        <w:jc w:val="both"/>
      </w:pPr>
      <w:r>
        <w:rPr>
          <w:rFonts w:ascii="Arial" w:cs="Arial" w:eastAsia="Arial" w:hAnsi="Arial"/>
          <w:sz w:val="24"/>
          <w:szCs w:val="24"/>
        </w:rPr>
        <w:t xml:space="preserve">3. Общегражданский паспорт</w:t>
      </w:r>
    </w:p>
    <w:p>
      <w:pPr>
        <w:spacing w:after="60"/>
        <w:ind w:firstLine="567"/>
        <w:jc w:val="both"/>
      </w:pPr>
      <w:r>
        <w:rPr>
          <w:rFonts w:ascii="Arial" w:cs="Arial" w:eastAsia="Arial" w:hAnsi="Arial"/>
          <w:sz w:val="24"/>
          <w:szCs w:val="24"/>
        </w:rPr>
        <w:t xml:space="preserve">4. Временный проездной документ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tyg15qxdfyjc0wfqlno">
      <w:r>
        <w:rPr>
          <w:rFonts w:ascii="Arial" w:cs="Arial" w:eastAsia="Arial" w:hAnsi="Arial"/>
          <w:color w:val="132D3F"/>
          <w:sz w:val="16"/>
          <w:szCs w:val="16"/>
          <w:u w:val="single"/>
        </w:rPr>
        <w:t xml:space="preserve">dalil.kg/document/219237</w:t>
      </w:r>
    </w:hyperlink>
  </w:p>
  <w:p>
    <w:pPr>
      <w:spacing w:after="0" w:before="40"/>
      <w:jc w:val="center"/>
    </w:pPr>
    <w:hyperlink w:history="1" r:id="rIdwk7wpfj8l22st1zo2el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_rgon8szoprgyjxrzfdg" Type="http://schemas.openxmlformats.org/officeDocument/2006/relationships/hyperlink" Target="https://dalil.kg/document/112301#st_13" TargetMode="External"/><Relationship Id="rIdgo-jpkj7lzxv95uxp-en5" Type="http://schemas.openxmlformats.org/officeDocument/2006/relationships/hyperlink" Target="https://dalil.kg/document/112301#st_17" TargetMode="External"/><Relationship Id="rIdbdkhej2x9f8plfyzi-z4x" Type="http://schemas.openxmlformats.org/officeDocument/2006/relationships/hyperlink" Target="https://dalil.kg/document/205286#st_8" TargetMode="External"/><Relationship Id="rIdjmeqtje3qj7b_keuaxu9o" Type="http://schemas.openxmlformats.org/officeDocument/2006/relationships/hyperlink" Target="https://dalil.kg/document/219237#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tyg15qxdfyjc0wfqlno" Type="http://schemas.openxmlformats.org/officeDocument/2006/relationships/hyperlink" Target="https://dalil.kg/document/219237" TargetMode="External"/><Relationship Id="rIdwk7wpfj8l22st1zo2el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2026-09-28T16:53:30.892Z</dcterms:created>
  <dcterms:modified xsi:type="dcterms:W3CDTF">2026-09-28T16:53:30.892Z</dcterms:modified>
</cp:coreProperties>
</file>

<file path=docProps/custom.xml><?xml version="1.0" encoding="utf-8"?>
<Properties xmlns="http://schemas.openxmlformats.org/officeDocument/2006/custom-properties" xmlns:vt="http://schemas.openxmlformats.org/officeDocument/2006/docPropsVTypes"/>
</file>