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РАСПОРЯЖЕНИЕ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4 октября 2022 года № 528-р</w:t>
      </w:r>
    </w:p>
    <w:p>
      <w:pPr>
        <w:spacing w:after="120"/>
        <w:jc w:val="both"/>
      </w:pPr>
      <w:r>
        <w:rPr>
          <w:rFonts w:ascii="Arial" w:cs="Arial" w:eastAsia="Arial" w:hAnsi="Arial"/>
          <w:sz w:val="24"/>
          <w:szCs w:val="24"/>
        </w:rPr>
        <w:t xml:space="preserve">В соответствии с </w:t>
      </w:r>
      <w:hyperlink w:history="1" r:id="rIdibnzqjeghnmh0hamjvup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статьями </w:t>
      </w:r>
      <w:hyperlink w:history="1" r:id="rIdwssrzayk9furlfxk0xlle">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qmshdq8wledcg91eojee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s50blnowpms9abjz_2eq9">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финансировании между Кыргызской Республикой и Международной ассоциацией развития (Всемирным банком) по проекту "Модернизация и устойчивое развитие электроэнергетического сектора".</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Соглашения, с учетом возможных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(неофициальный перевод)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Управление Вице-президента по правовым вопросам</w:t>
      </w:r>
    </w:p>
    <w:p>
      <w:pPr>
        <w:spacing w:after="60"/>
        <w:ind w:firstLine="567"/>
        <w:jc w:val="both"/>
      </w:pPr>
      <w:r>
        <w:rPr>
          <w:rFonts w:ascii="Arial" w:cs="Arial" w:eastAsia="Arial" w:hAnsi="Arial"/>
          <w:sz w:val="24"/>
          <w:szCs w:val="24"/>
        </w:rPr>
        <w:t xml:space="preserve">КОНФИДЕНЦИАЛЬНЫЙ ПРОЕКТ</w:t>
      </w:r>
    </w:p>
    <w:p>
      <w:pPr>
        <w:spacing w:after="60"/>
        <w:ind w:firstLine="567"/>
        <w:jc w:val="both"/>
      </w:pPr>
      <w:r>
        <w:rPr>
          <w:rFonts w:ascii="Arial" w:cs="Arial" w:eastAsia="Arial" w:hAnsi="Arial"/>
          <w:sz w:val="24"/>
          <w:szCs w:val="24"/>
        </w:rPr>
        <w:t xml:space="preserve">Версия, согласованная по итогам переговоров</w:t>
      </w:r>
    </w:p>
    <w:p>
      <w:pPr>
        <w:spacing w:after="60"/>
        <w:ind w:firstLine="567"/>
        <w:jc w:val="both"/>
      </w:pPr>
      <w:r>
        <w:rPr>
          <w:rFonts w:ascii="Arial" w:cs="Arial" w:eastAsia="Arial" w:hAnsi="Arial"/>
          <w:sz w:val="24"/>
          <w:szCs w:val="24"/>
        </w:rPr>
        <w:t xml:space="preserve">13 мая 2022 г. (редакция от 5 сентября 2022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КРЕДИТ № </w:t>
      </w:r>
      <w:r>
        <w:rPr>
          <w:rFonts w:ascii="Arial" w:cs="Arial" w:eastAsia="Arial" w:hAnsi="Arial"/>
          <w:sz w:val="24"/>
          <w:szCs w:val="24"/>
        </w:rPr>
        <w:t xml:space="preserve">IDA</w:t>
      </w:r>
      <w:r>
        <w:rPr>
          <w:rFonts w:ascii="Arial" w:cs="Arial" w:eastAsia="Arial" w:hAnsi="Arial"/>
          <w:sz w:val="24"/>
          <w:szCs w:val="24"/>
        </w:rPr>
        <w:t xml:space="preserve"> 71470-</w:t>
      </w:r>
      <w:r>
        <w:rPr>
          <w:rFonts w:ascii="Arial" w:cs="Arial" w:eastAsia="Arial" w:hAnsi="Arial"/>
          <w:sz w:val="24"/>
          <w:szCs w:val="24"/>
        </w:rPr>
        <w:t xml:space="preserve">KG</w:t>
      </w:r>
    </w:p>
    <w:p>
      <w:pPr>
        <w:spacing w:after="60"/>
        <w:ind w:firstLine="567"/>
        <w:jc w:val="right"/>
      </w:pPr>
      <w:r>
        <w:rPr>
          <w:rFonts w:ascii="Arial" w:cs="Arial" w:eastAsia="Arial" w:hAnsi="Arial"/>
          <w:sz w:val="24"/>
          <w:szCs w:val="24"/>
        </w:rPr>
        <w:t xml:space="preserve">ГРАНТ № </w:t>
      </w:r>
      <w:r>
        <w:rPr>
          <w:rFonts w:ascii="Arial" w:cs="Arial" w:eastAsia="Arial" w:hAnsi="Arial"/>
          <w:sz w:val="24"/>
          <w:szCs w:val="24"/>
        </w:rPr>
        <w:t xml:space="preserve">IDA E</w:t>
      </w:r>
      <w:r>
        <w:rPr>
          <w:rFonts w:ascii="Arial" w:cs="Arial" w:eastAsia="Arial" w:hAnsi="Arial"/>
          <w:sz w:val="24"/>
          <w:szCs w:val="24"/>
        </w:rPr>
        <w:t xml:space="preserve">0690-</w:t>
      </w:r>
      <w:r>
        <w:rPr>
          <w:rFonts w:ascii="Arial" w:cs="Arial" w:eastAsia="Arial" w:hAnsi="Arial"/>
          <w:sz w:val="24"/>
          <w:szCs w:val="24"/>
        </w:rPr>
        <w:t xml:space="preserve">KG</w:t>
      </w:r>
    </w:p>
    <w:p>
      <w:pPr>
        <w:spacing w:after="400" w:before="400"/>
        <w:jc w:val="center"/>
      </w:pPr>
      <w:r>
        <w:rPr>
          <w:rFonts w:ascii="Arial" w:cs="Arial" w:eastAsia="Arial" w:hAnsi="Arial"/>
          <w:b/>
          <w:bCs/>
          <w:sz w:val="32"/>
          <w:szCs w:val="32"/>
        </w:rPr>
        <w:t xml:space="preserve">СОГЛАШЕНИЕ
 о финансировании (Проект модернизации и устойчивого развития электроэнергетического сектора) между Кыргызской Республикой и Международной ассоциацией развития</w:t>
      </w:r>
    </w:p>
    <w:p>
      <w:pPr>
        <w:spacing w:after="60"/>
        <w:ind w:firstLine="567"/>
        <w:jc w:val="both"/>
      </w:pPr>
      <w:r>
        <w:rPr>
          <w:rFonts w:ascii="Arial" w:cs="Arial" w:eastAsia="Arial" w:hAnsi="Arial"/>
          <w:sz w:val="24"/>
          <w:szCs w:val="24"/>
        </w:rPr>
        <w:t xml:space="preserve">Настоящее СОГЛАШЕНИЕ, датированное Датой подписания, заключено между КЫРГЫЗСКОЙ РЕСПУБЛИКОЙ ("Получатель") и МЕЖДУНАРОДНОЙ АССОЦИАЦИЕЙ РАЗВИТИЯ ("Ассоциация"),</w:t>
      </w:r>
    </w:p>
    <w:p>
      <w:pPr>
        <w:spacing w:after="60"/>
        <w:ind w:firstLine="567"/>
        <w:jc w:val="both"/>
      </w:pPr>
      <w:r>
        <w:rPr>
          <w:rFonts w:ascii="Arial" w:cs="Arial" w:eastAsia="Arial" w:hAnsi="Arial"/>
          <w:sz w:val="24"/>
          <w:szCs w:val="24"/>
        </w:rPr>
        <w:t xml:space="preserve">ПРИНИМАЯ ВО ВНИМАНИЕ, что Ассоциация, действующая в качестве администратора трастового фонда, в который SECO будет вносить свой вклад в качестве донора, и Получатель намерены заключить соглашение о предоставлении гранта ("Соглашение о гранте") с целью предоставления гранта для содействия Получателю в финансировании Части 2 Проекта ("Грант SECO") на условиях, которые будут изложены в Соглашении о гранте.</w:t>
      </w:r>
    </w:p>
    <w:p>
      <w:pPr>
        <w:spacing w:after="60"/>
        <w:ind w:firstLine="567"/>
        <w:jc w:val="both"/>
      </w:pPr>
      <w:r>
        <w:rPr>
          <w:rFonts w:ascii="Arial" w:cs="Arial" w:eastAsia="Arial" w:hAnsi="Arial"/>
          <w:sz w:val="24"/>
          <w:szCs w:val="24"/>
        </w:rPr>
        <w:t xml:space="preserve">Получатель и Ассоциация настоящим договариваются о нижеследующем:</w:t>
      </w:r>
    </w:p>
    <w:p>
      <w:pPr>
        <w:spacing w:after="60" w:before="200"/>
        <w:ind w:firstLine="567"/>
        <w:jc w:val="both"/>
      </w:pPr>
      <w:r>
        <w:rPr>
          <w:rFonts w:ascii="Arial" w:cs="Arial" w:eastAsia="Arial" w:hAnsi="Arial"/>
          <w:b/>
          <w:bCs/>
          <w:sz w:val="24"/>
          <w:szCs w:val="24"/>
        </w:rPr>
        <w:t xml:space="preserve">Статья I - Общие условия; Определения</w:t>
      </w:r>
    </w:p>
    <w:p>
      <w:pPr>
        <w:spacing w:after="60"/>
        <w:ind w:firstLine="567"/>
        <w:jc w:val="both"/>
      </w:pPr>
      <w:r>
        <w:rPr>
          <w:rFonts w:ascii="Arial" w:cs="Arial" w:eastAsia="Arial" w:hAnsi="Arial"/>
          <w:sz w:val="24"/>
          <w:szCs w:val="24"/>
        </w:rPr>
        <w:t xml:space="preserve">1.01. Общие условия (согласно определению, представленному в Дополнении к настоящему Соглашению) применяются к настоящему Соглашению и составляют его неотъемлемую часть.</w:t>
      </w:r>
    </w:p>
    <w:p>
      <w:pPr>
        <w:spacing w:after="60"/>
        <w:ind w:firstLine="567"/>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значения, закрепленные за ними Общими условиями или Дополнением к настоящему Соглашению.</w:t>
      </w:r>
    </w:p>
    <w:p>
      <w:pPr>
        <w:spacing w:after="60" w:before="200"/>
        <w:ind w:firstLine="567"/>
        <w:jc w:val="both"/>
      </w:pPr>
      <w:r>
        <w:rPr>
          <w:rFonts w:ascii="Arial" w:cs="Arial" w:eastAsia="Arial" w:hAnsi="Arial"/>
          <w:b/>
          <w:bCs/>
          <w:sz w:val="24"/>
          <w:szCs w:val="24"/>
        </w:rPr>
        <w:t xml:space="preserve">Статья II - Финансирование</w:t>
      </w:r>
    </w:p>
    <w:p>
      <w:pPr>
        <w:spacing w:after="60"/>
        <w:ind w:firstLine="567"/>
        <w:jc w:val="both"/>
      </w:pPr>
      <w:r>
        <w:rPr>
          <w:rFonts w:ascii="Arial" w:cs="Arial" w:eastAsia="Arial" w:hAnsi="Arial"/>
          <w:sz w:val="24"/>
          <w:szCs w:val="24"/>
        </w:rPr>
        <w:t xml:space="preserve">2.01. Ассоциация соглашается предоставить Получателю грант и кредит, которые рассматриваются как Льготное Финансирование для целей Общих условий (совместно именуемые "Финансированием"), в следующих размерах для содействия финансированию проекта, описываемого в Приложении 1 к настоящему Соглашению ("Проект"):</w:t>
      </w:r>
    </w:p>
    <w:p>
      <w:pPr>
        <w:spacing w:after="60"/>
        <w:ind w:firstLine="567"/>
        <w:jc w:val="both"/>
      </w:pPr>
      <w:r>
        <w:rPr>
          <w:rFonts w:ascii="Arial" w:cs="Arial" w:eastAsia="Arial" w:hAnsi="Arial"/>
          <w:sz w:val="24"/>
          <w:szCs w:val="24"/>
        </w:rPr>
        <w:t xml:space="preserve">(a) сумму, эквивалентную восемнадцати миллионам шестистам тысячам специальных прав заимствования (18600000 СПЗ) ("Грант"); и</w:t>
      </w:r>
    </w:p>
    <w:p>
      <w:pPr>
        <w:spacing w:after="60"/>
        <w:ind w:firstLine="567"/>
        <w:jc w:val="both"/>
      </w:pPr>
      <w:r>
        <w:rPr>
          <w:rFonts w:ascii="Arial" w:cs="Arial" w:eastAsia="Arial" w:hAnsi="Arial"/>
          <w:sz w:val="24"/>
          <w:szCs w:val="24"/>
        </w:rPr>
        <w:t xml:space="preserve">(b) сумму, эквивалентную восемнадцати миллионам шестистам тысячам специальных прав заимствования (18600000 СПЗ) ("Кредит").</w:t>
      </w:r>
    </w:p>
    <w:p>
      <w:pPr>
        <w:spacing w:after="60"/>
        <w:ind w:firstLine="567"/>
        <w:jc w:val="both"/>
      </w:pPr>
      <w:r>
        <w:rPr>
          <w:rFonts w:ascii="Arial" w:cs="Arial" w:eastAsia="Arial" w:hAnsi="Arial"/>
          <w:sz w:val="24"/>
          <w:szCs w:val="24"/>
        </w:rPr>
        <w:t xml:space="preserve">2.02. Получатель может производить выборку средств Финансирования в соответствии с положениями Раздела III Приложения 2 к настоящему Соглашению.</w:t>
      </w:r>
    </w:p>
    <w:p>
      <w:pPr>
        <w:spacing w:after="60"/>
        <w:ind w:firstLine="567"/>
        <w:jc w:val="both"/>
      </w:pPr>
      <w:r>
        <w:rPr>
          <w:rFonts w:ascii="Arial" w:cs="Arial" w:eastAsia="Arial" w:hAnsi="Arial"/>
          <w:sz w:val="24"/>
          <w:szCs w:val="24"/>
        </w:rPr>
        <w:t xml:space="preserve">2.03. Максимальный размер выплачиваемой Получателем комиссии за резервирование невыбранного остатка средств Финансирования составляет половину одного процента (1/2 от 1%) в год.</w:t>
      </w:r>
    </w:p>
    <w:p>
      <w:pPr>
        <w:spacing w:after="60"/>
        <w:ind w:firstLine="567"/>
        <w:jc w:val="both"/>
      </w:pPr>
      <w:r>
        <w:rPr>
          <w:rFonts w:ascii="Arial" w:cs="Arial" w:eastAsia="Arial" w:hAnsi="Arial"/>
          <w:sz w:val="24"/>
          <w:szCs w:val="24"/>
        </w:rPr>
        <w:t xml:space="preserve">2.04. Комиссия за обслуживание, уплачиваемая Получателем по Выбранному остатку кредитных средств, составляет три четвертых одного процента (3/4 от 1%) в год.</w:t>
      </w:r>
    </w:p>
    <w:p>
      <w:pPr>
        <w:spacing w:after="60"/>
        <w:ind w:firstLine="567"/>
        <w:jc w:val="both"/>
      </w:pPr>
      <w:r>
        <w:rPr>
          <w:rFonts w:ascii="Arial" w:cs="Arial" w:eastAsia="Arial" w:hAnsi="Arial"/>
          <w:sz w:val="24"/>
          <w:szCs w:val="24"/>
        </w:rPr>
        <w:t xml:space="preserve">2.05. Сроки платежей: 15 февраля и 15 августа каждого года.</w:t>
      </w:r>
    </w:p>
    <w:p>
      <w:pPr>
        <w:spacing w:after="60"/>
        <w:ind w:firstLine="567"/>
        <w:jc w:val="both"/>
      </w:pPr>
      <w:r>
        <w:rPr>
          <w:rFonts w:ascii="Arial" w:cs="Arial" w:eastAsia="Arial" w:hAnsi="Arial"/>
          <w:sz w:val="24"/>
          <w:szCs w:val="24"/>
        </w:rPr>
        <w:t xml:space="preserve">2.06. Основная сумма Кредита выплачивается в соответствии с графиком погашения, представленным в Приложении 3 к настоящему Соглашению.</w:t>
      </w:r>
    </w:p>
    <w:p>
      <w:pPr>
        <w:spacing w:after="60"/>
        <w:ind w:firstLine="567"/>
        <w:jc w:val="both"/>
      </w:pPr>
      <w:r>
        <w:rPr>
          <w:rFonts w:ascii="Arial" w:cs="Arial" w:eastAsia="Arial" w:hAnsi="Arial"/>
          <w:sz w:val="24"/>
          <w:szCs w:val="24"/>
        </w:rPr>
        <w:t xml:space="preserve">2.07. Валютой платежей является доллар США.</w:t>
      </w:r>
    </w:p>
    <w:p>
      <w:pPr>
        <w:spacing w:after="60" w:before="200"/>
        <w:ind w:firstLine="567"/>
        <w:jc w:val="both"/>
      </w:pPr>
      <w:r>
        <w:rPr>
          <w:rFonts w:ascii="Arial" w:cs="Arial" w:eastAsia="Arial" w:hAnsi="Arial"/>
          <w:b/>
          <w:bCs/>
          <w:sz w:val="24"/>
          <w:szCs w:val="24"/>
        </w:rPr>
        <w:t xml:space="preserve">Статья III - Проект</w:t>
      </w:r>
    </w:p>
    <w:p>
      <w:pPr>
        <w:spacing w:after="60"/>
        <w:ind w:firstLine="567"/>
        <w:jc w:val="both"/>
      </w:pPr>
      <w:r>
        <w:rPr>
          <w:rFonts w:ascii="Arial" w:cs="Arial" w:eastAsia="Arial" w:hAnsi="Arial"/>
          <w:sz w:val="24"/>
          <w:szCs w:val="24"/>
        </w:rPr>
        <w:t xml:space="preserve">3.01. Получатель настоящим заявляет о своей приверженности целям Проекта. В этой связи, Получатель, действуя через МЭ, реализует Проект в соответствии с положениями Статьи V Общих условий, Приложения 2 к настоящему оглашению.</w:t>
      </w:r>
    </w:p>
    <w:p>
      <w:pPr>
        <w:spacing w:after="60" w:before="200"/>
        <w:ind w:firstLine="567"/>
        <w:jc w:val="both"/>
      </w:pPr>
      <w:r>
        <w:rPr>
          <w:rFonts w:ascii="Arial" w:cs="Arial" w:eastAsia="Arial" w:hAnsi="Arial"/>
          <w:b/>
          <w:bCs/>
          <w:sz w:val="24"/>
          <w:szCs w:val="24"/>
        </w:rPr>
        <w:t xml:space="preserve">Статья IV - Вступление в силу; Прекращение действия</w:t>
      </w:r>
    </w:p>
    <w:p>
      <w:pPr>
        <w:spacing w:after="60"/>
        <w:ind w:firstLine="567"/>
        <w:jc w:val="both"/>
      </w:pPr>
      <w:r>
        <w:rPr>
          <w:rFonts w:ascii="Arial" w:cs="Arial" w:eastAsia="Arial" w:hAnsi="Arial"/>
          <w:sz w:val="24"/>
          <w:szCs w:val="24"/>
        </w:rPr>
        <w:t xml:space="preserve">4.01. Дополнительные условия вступления в силу заключаются в следующем:</w:t>
      </w:r>
    </w:p>
    <w:p>
      <w:pPr>
        <w:spacing w:after="60"/>
        <w:ind w:firstLine="567"/>
        <w:jc w:val="both"/>
      </w:pPr>
      <w:r>
        <w:rPr>
          <w:rFonts w:ascii="Arial" w:cs="Arial" w:eastAsia="Arial" w:hAnsi="Arial"/>
          <w:sz w:val="24"/>
          <w:szCs w:val="24"/>
        </w:rPr>
        <w:t xml:space="preserve">(a) обновление и принятие МЭ, удовлетворяющего требованиям Ассоциации Операционного руководства Проекта;</w:t>
      </w:r>
    </w:p>
    <w:p>
      <w:pPr>
        <w:spacing w:after="60"/>
        <w:ind w:firstLine="567"/>
        <w:jc w:val="both"/>
      </w:pPr>
      <w:r>
        <w:rPr>
          <w:rFonts w:ascii="Arial" w:cs="Arial" w:eastAsia="Arial" w:hAnsi="Arial"/>
          <w:sz w:val="24"/>
          <w:szCs w:val="24"/>
        </w:rPr>
        <w:t xml:space="preserve">(b) создание ОУП, состав, ресурсы и техническое задание которого удовлетворяют требованиям Ассоциации;</w:t>
      </w:r>
    </w:p>
    <w:p>
      <w:pPr>
        <w:spacing w:after="60"/>
        <w:ind w:firstLine="567"/>
        <w:jc w:val="both"/>
      </w:pPr>
      <w:r>
        <w:rPr>
          <w:rFonts w:ascii="Arial" w:cs="Arial" w:eastAsia="Arial" w:hAnsi="Arial"/>
          <w:sz w:val="24"/>
          <w:szCs w:val="24"/>
        </w:rPr>
        <w:t xml:space="preserve">(c) составление, обсуждение, обнародование и последующее принятие удовлетворяющих требованиям Ассоциации РУЭСС, ПУТР и РПП; и</w:t>
      </w:r>
    </w:p>
    <w:p>
      <w:pPr>
        <w:spacing w:after="60"/>
        <w:ind w:firstLine="567"/>
        <w:jc w:val="both"/>
      </w:pPr>
      <w:r>
        <w:rPr>
          <w:rFonts w:ascii="Arial" w:cs="Arial" w:eastAsia="Arial" w:hAnsi="Arial"/>
          <w:sz w:val="24"/>
          <w:szCs w:val="24"/>
        </w:rPr>
        <w:t xml:space="preserve">(d) Соглашение о Гранте было должным образом оформлено, и все условия, предшествующие его вступлению в силу или праву Получателя на снятие средств в соответствии с ним (кроме вступления в силу настоящего Соглашения), были выполнены.</w:t>
      </w:r>
    </w:p>
    <w:p>
      <w:pPr>
        <w:spacing w:after="60"/>
        <w:ind w:firstLine="567"/>
        <w:jc w:val="both"/>
      </w:pPr>
      <w:r>
        <w:rPr>
          <w:rFonts w:ascii="Arial" w:cs="Arial" w:eastAsia="Arial" w:hAnsi="Arial"/>
          <w:sz w:val="24"/>
          <w:szCs w:val="24"/>
        </w:rPr>
        <w:t xml:space="preserve">4.02. Окончательный Срок вступления Соглашения в силу составляет сто двадцать (120) дней с Даты подписания настоящего Соглашения.</w:t>
      </w:r>
    </w:p>
    <w:p>
      <w:pPr>
        <w:spacing w:after="60" w:before="200"/>
        <w:ind w:firstLine="567"/>
        <w:jc w:val="both"/>
      </w:pPr>
      <w:r>
        <w:rPr>
          <w:rFonts w:ascii="Arial" w:cs="Arial" w:eastAsia="Arial" w:hAnsi="Arial"/>
          <w:b/>
          <w:bCs/>
          <w:sz w:val="24"/>
          <w:szCs w:val="24"/>
        </w:rPr>
        <w:t xml:space="preserve">Статья V - Представитель; Адреса</w:t>
      </w:r>
    </w:p>
    <w:p>
      <w:pPr>
        <w:spacing w:after="60"/>
        <w:ind w:firstLine="567"/>
        <w:jc w:val="both"/>
      </w:pPr>
      <w:r>
        <w:rPr>
          <w:rFonts w:ascii="Arial" w:cs="Arial" w:eastAsia="Arial" w:hAnsi="Arial"/>
          <w:sz w:val="24"/>
          <w:szCs w:val="24"/>
        </w:rPr>
        <w:t xml:space="preserve">5.01. Представителем Получателя является его Министр финансов.</w:t>
      </w:r>
    </w:p>
    <w:p>
      <w:pPr>
        <w:spacing w:after="120"/>
        <w:ind w:firstLine="567"/>
        <w:jc w:val="both"/>
      </w:pPr>
      <w:r>
        <w:rPr>
          <w:rFonts w:ascii="Arial" w:cs="Arial" w:eastAsia="Arial" w:hAnsi="Arial"/>
          <w:sz w:val="24"/>
          <w:szCs w:val="24"/>
        </w:rPr>
        <w:t xml:space="preserve">5.02. Применительно к Разделу 11.01 Общих условий: (а) адрес Получателя:</w:t>
      </w:r>
    </w:p>
    <w:p>
      <w:pPr>
        <w:spacing w:after="60"/>
        <w:ind w:firstLine="567"/>
        <w:jc w:val="both"/>
      </w:pPr>
      <w:r>
        <w:rPr>
          <w:rFonts w:ascii="Arial" w:cs="Arial" w:eastAsia="Arial" w:hAnsi="Arial"/>
          <w:sz w:val="24"/>
          <w:szCs w:val="24"/>
        </w:rPr>
        <w:t xml:space="preserve">Министерство финансов</w:t>
      </w:r>
    </w:p>
    <w:p>
      <w:pPr>
        <w:spacing w:after="60"/>
        <w:ind w:firstLine="567"/>
        <w:jc w:val="both"/>
      </w:pPr>
      <w:r>
        <w:rPr>
          <w:rFonts w:ascii="Arial" w:cs="Arial" w:eastAsia="Arial" w:hAnsi="Arial"/>
          <w:sz w:val="24"/>
          <w:szCs w:val="24"/>
        </w:rPr>
        <w:t xml:space="preserve">б-р Эркиндик, 58</w:t>
      </w:r>
    </w:p>
    <w:p>
      <w:pPr>
        <w:spacing w:after="120"/>
        <w:ind w:firstLine="567"/>
        <w:jc w:val="both"/>
      </w:pPr>
      <w:r>
        <w:rPr>
          <w:rFonts w:ascii="Arial" w:cs="Arial" w:eastAsia="Arial" w:hAnsi="Arial"/>
          <w:sz w:val="24"/>
          <w:szCs w:val="24"/>
        </w:rPr>
        <w:t xml:space="preserve">г.Бишкек, 720040 Кыргызская Республика; 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Электронный адрес Получателя:</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245-156 NUR KH</w:t>
      </w:r>
      <w:r>
        <w:rPr>
          <w:rFonts w:ascii="Arial" w:cs="Arial" w:eastAsia="Arial" w:hAnsi="Arial"/>
          <w:sz w:val="24"/>
          <w:szCs w:val="24"/>
        </w:rPr>
        <w:t xml:space="preserve">	</w:t>
      </w:r>
      <w:r>
        <w:rPr>
          <w:rFonts w:ascii="Arial" w:cs="Arial" w:eastAsia="Arial" w:hAnsi="Arial"/>
          <w:sz w:val="24"/>
          <w:szCs w:val="24"/>
        </w:rPr>
        <w:t xml:space="preserve">(996-312) 661645</w:t>
      </w:r>
    </w:p>
    <w:p>
      <w:pPr>
        <w:spacing w:after="120" w:before="120"/>
        <w:ind w:firstLine="567"/>
        <w:jc w:val="both"/>
      </w:pPr>
      <w:r>
        <w:rPr>
          <w:rFonts w:ascii="Arial" w:cs="Arial" w:eastAsia="Arial" w:hAnsi="Arial"/>
          <w:sz w:val="24"/>
          <w:szCs w:val="24"/>
        </w:rPr>
        <w:t xml:space="preserve">5.03. Применительно к Разделу 11.01 Общих условий: (а) Адрес Ассоциации:</w:t>
      </w:r>
    </w:p>
    <w:p>
      <w:pPr>
        <w:spacing w:after="60"/>
        <w:ind w:firstLine="567"/>
        <w:jc w:val="both"/>
      </w:pPr>
      <w:r>
        <w:rPr>
          <w:rFonts w:ascii="Arial" w:cs="Arial" w:eastAsia="Arial" w:hAnsi="Arial"/>
          <w:sz w:val="24"/>
          <w:szCs w:val="24"/>
        </w:rPr>
        <w:t xml:space="preserve">International Development Association</w:t>
      </w:r>
    </w:p>
    <w:p>
      <w:pPr>
        <w:spacing w:after="60"/>
        <w:ind w:firstLine="567"/>
        <w:jc w:val="both"/>
      </w:pPr>
      <w:r>
        <w:rPr>
          <w:rFonts w:ascii="Arial" w:cs="Arial" w:eastAsia="Arial" w:hAnsi="Arial"/>
          <w:sz w:val="24"/>
          <w:szCs w:val="24"/>
        </w:rPr>
        <w:t xml:space="preserve">1818 H Street, N.W.</w:t>
      </w:r>
    </w:p>
    <w:p>
      <w:pPr>
        <w:spacing w:after="60"/>
        <w:ind w:firstLine="567"/>
        <w:jc w:val="both"/>
      </w:pPr>
      <w:r>
        <w:rPr>
          <w:rFonts w:ascii="Arial" w:cs="Arial" w:eastAsia="Arial" w:hAnsi="Arial"/>
          <w:sz w:val="24"/>
          <w:szCs w:val="24"/>
        </w:rPr>
        <w:t xml:space="preserve">Washington, D.C. 20433</w:t>
      </w:r>
    </w:p>
    <w:p>
      <w:pPr>
        <w:spacing w:after="120"/>
        <w:ind w:firstLine="567"/>
        <w:jc w:val="both"/>
      </w:pPr>
      <w:r>
        <w:rPr>
          <w:rFonts w:ascii="Arial" w:cs="Arial" w:eastAsia="Arial" w:hAnsi="Arial"/>
          <w:sz w:val="24"/>
          <w:szCs w:val="24"/>
        </w:rPr>
        <w:t xml:space="preserve">United States of America; </w:t>
      </w:r>
      <w:r>
        <w:rPr>
          <w:rFonts w:ascii="Arial" w:cs="Arial" w:eastAsia="Arial" w:hAnsi="Arial"/>
          <w:sz w:val="24"/>
          <w:szCs w:val="24"/>
        </w:rPr>
        <w:t xml:space="preserve">и</w:t>
      </w:r>
    </w:p>
    <w:p>
      <w:pPr>
        <w:spacing w:after="120"/>
        <w:ind w:firstLine="567"/>
        <w:jc w:val="both"/>
      </w:pPr>
      <w:r>
        <w:rPr>
          <w:rFonts w:ascii="Arial" w:cs="Arial" w:eastAsia="Arial" w:hAnsi="Arial"/>
          <w:sz w:val="24"/>
          <w:szCs w:val="24"/>
        </w:rPr>
        <w:t xml:space="preserve">(b) Электронный адрес Ассоциации:</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248423 (MCI)</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ПОДПИСАНО и датировано Датой подписания.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ОТ КЫРГЫЗСКОЙ РЕСПУБЛИКИ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120"/>
        <w:jc w:val="right"/>
      </w:pPr>
      <w:r>
        <w:rPr>
          <w:rFonts w:ascii="Arial" w:cs="Arial" w:eastAsia="Arial" w:hAnsi="Arial"/>
          <w:sz w:val="24"/>
          <w:szCs w:val="24"/>
        </w:rPr>
        <w:t xml:space="preserve">ФИО:</w:t>
      </w:r>
      <w:r>
        <w:rPr>
          <w:rFonts w:ascii="Arial" w:cs="Arial" w:eastAsia="Arial" w:hAnsi="Arial"/>
          <w:sz w:val="24"/>
          <w:szCs w:val="24"/>
        </w:rPr>
        <w:t xml:space="preserve"> _______________________________</w:t>
      </w:r>
      <w:r>
        <w:rPr>
          <w:rFonts w:ascii="Arial" w:cs="Arial" w:eastAsia="Arial" w:hAnsi="Arial"/>
          <w:sz w:val="24"/>
          <w:szCs w:val="24"/>
        </w:rPr>
        <w:t xml:space="preserve">_</w:t>
      </w:r>
    </w:p>
    <w:p>
      <w:pPr>
        <w:spacing w:after="120"/>
        <w:jc w:val="right"/>
      </w:pPr>
      <w:r>
        <w:rPr>
          <w:rFonts w:ascii="Arial" w:cs="Arial" w:eastAsia="Arial" w:hAnsi="Arial"/>
          <w:sz w:val="24"/>
          <w:szCs w:val="24"/>
        </w:rPr>
        <w:t xml:space="preserve">Должность:</w:t>
      </w:r>
      <w:r>
        <w:rPr>
          <w:rFonts w:ascii="Arial" w:cs="Arial" w:eastAsia="Arial" w:hAnsi="Arial"/>
          <w:sz w:val="24"/>
          <w:szCs w:val="24"/>
        </w:rPr>
        <w:t xml:space="preserve"> __________________________</w:t>
      </w:r>
      <w:r>
        <w:rPr>
          <w:rFonts w:ascii="Arial" w:cs="Arial" w:eastAsia="Arial" w:hAnsi="Arial"/>
          <w:sz w:val="24"/>
          <w:szCs w:val="24"/>
        </w:rPr>
        <w:t xml:space="preserve">_</w:t>
      </w:r>
    </w:p>
    <w:p>
      <w:pPr>
        <w:spacing w:after="120"/>
        <w:jc w:val="right"/>
      </w:pPr>
      <w:r>
        <w:rPr>
          <w:rFonts w:ascii="Arial" w:cs="Arial" w:eastAsia="Arial" w:hAnsi="Arial"/>
          <w:sz w:val="24"/>
          <w:szCs w:val="24"/>
        </w:rPr>
        <w:t xml:space="preserve">Дата:</w:t>
      </w:r>
      <w:r>
        <w:rPr>
          <w:rFonts w:ascii="Arial" w:cs="Arial" w:eastAsia="Arial" w:hAnsi="Arial"/>
          <w:sz w:val="24"/>
          <w:szCs w:val="24"/>
        </w:rPr>
        <w:t xml:space="preserve"> _______________________________</w:t>
      </w:r>
      <w:r>
        <w:rPr>
          <w:rFonts w:ascii="Arial" w:cs="Arial" w:eastAsia="Arial" w:hAnsi="Arial"/>
          <w:sz w:val="24"/>
          <w:szCs w:val="24"/>
        </w:rPr>
        <w:t xml:space="preserve">_</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ОТ МЕЖДУНАРОДНОЙ АССОЦИАЦИИ РАЗВИТИЯ</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120"/>
        <w:jc w:val="right"/>
      </w:pPr>
      <w:r>
        <w:rPr>
          <w:rFonts w:ascii="Arial" w:cs="Arial" w:eastAsia="Arial" w:hAnsi="Arial"/>
          <w:sz w:val="24"/>
          <w:szCs w:val="24"/>
        </w:rPr>
        <w:t xml:space="preserve">ФИО:</w:t>
      </w:r>
      <w:r>
        <w:rPr>
          <w:rFonts w:ascii="Arial" w:cs="Arial" w:eastAsia="Arial" w:hAnsi="Arial"/>
          <w:sz w:val="24"/>
          <w:szCs w:val="24"/>
        </w:rPr>
        <w:t xml:space="preserve"> _______________________________</w:t>
      </w:r>
      <w:r>
        <w:rPr>
          <w:rFonts w:ascii="Arial" w:cs="Arial" w:eastAsia="Arial" w:hAnsi="Arial"/>
          <w:sz w:val="24"/>
          <w:szCs w:val="24"/>
        </w:rPr>
        <w:t xml:space="preserve">_</w:t>
      </w:r>
    </w:p>
    <w:p>
      <w:pPr>
        <w:spacing w:after="120"/>
        <w:jc w:val="right"/>
      </w:pPr>
      <w:r>
        <w:rPr>
          <w:rFonts w:ascii="Arial" w:cs="Arial" w:eastAsia="Arial" w:hAnsi="Arial"/>
          <w:sz w:val="24"/>
          <w:szCs w:val="24"/>
        </w:rPr>
        <w:t xml:space="preserve">Должность:</w:t>
      </w:r>
      <w:r>
        <w:rPr>
          <w:rFonts w:ascii="Arial" w:cs="Arial" w:eastAsia="Arial" w:hAnsi="Arial"/>
          <w:sz w:val="24"/>
          <w:szCs w:val="24"/>
        </w:rPr>
        <w:t xml:space="preserve"> __________________________</w:t>
      </w:r>
      <w:r>
        <w:rPr>
          <w:rFonts w:ascii="Arial" w:cs="Arial" w:eastAsia="Arial" w:hAnsi="Arial"/>
          <w:sz w:val="24"/>
          <w:szCs w:val="24"/>
        </w:rPr>
        <w:t xml:space="preserve">_</w:t>
      </w:r>
    </w:p>
    <w:p>
      <w:pPr>
        <w:spacing w:after="120"/>
        <w:jc w:val="right"/>
      </w:pPr>
      <w:r>
        <w:rPr>
          <w:rFonts w:ascii="Arial" w:cs="Arial" w:eastAsia="Arial" w:hAnsi="Arial"/>
          <w:sz w:val="24"/>
          <w:szCs w:val="24"/>
        </w:rPr>
        <w:t xml:space="preserve">Дата:</w:t>
      </w:r>
      <w:r>
        <w:rPr>
          <w:rFonts w:ascii="Arial" w:cs="Arial" w:eastAsia="Arial" w:hAnsi="Arial"/>
          <w:sz w:val="24"/>
          <w:szCs w:val="24"/>
        </w:rPr>
        <w:t xml:space="preserve"> 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Описание Проекта</w:t>
      </w:r>
    </w:p>
    <w:p>
      <w:pPr>
        <w:spacing w:after="60"/>
        <w:ind w:firstLine="567"/>
        <w:jc w:val="both"/>
      </w:pPr>
      <w:r>
        <w:rPr>
          <w:rFonts w:ascii="Arial" w:cs="Arial" w:eastAsia="Arial" w:hAnsi="Arial"/>
          <w:sz w:val="24"/>
          <w:szCs w:val="24"/>
        </w:rPr>
        <w:t xml:space="preserve">Целью Проекта является улучшение финансовых показателей и эксплуатационной надежности электроэнергетического сектора.</w:t>
      </w:r>
    </w:p>
    <w:p>
      <w:pPr>
        <w:spacing w:after="60"/>
        <w:ind w:firstLine="567"/>
        <w:jc w:val="both"/>
      </w:pPr>
      <w:r>
        <w:rPr>
          <w:rFonts w:ascii="Arial" w:cs="Arial" w:eastAsia="Arial" w:hAnsi="Arial"/>
          <w:sz w:val="24"/>
          <w:szCs w:val="24"/>
        </w:rPr>
        <w:t xml:space="preserve">Проект состоит из следующих частей:</w:t>
      </w:r>
    </w:p>
    <w:p>
      <w:pPr>
        <w:spacing w:after="60" w:before="200"/>
        <w:ind w:firstLine="567"/>
        <w:jc w:val="both"/>
      </w:pPr>
      <w:r>
        <w:rPr>
          <w:rFonts w:ascii="Arial" w:cs="Arial" w:eastAsia="Arial" w:hAnsi="Arial"/>
          <w:b/>
          <w:bCs/>
          <w:sz w:val="24"/>
          <w:szCs w:val="24"/>
        </w:rPr>
        <w:t xml:space="preserve">1. Восстановление и модернизация распределительных сетей</w:t>
      </w:r>
    </w:p>
    <w:p>
      <w:pPr>
        <w:spacing w:after="60"/>
        <w:ind w:firstLine="567"/>
        <w:jc w:val="both"/>
      </w:pPr>
      <w:r>
        <w:rPr>
          <w:rFonts w:ascii="Arial" w:cs="Arial" w:eastAsia="Arial" w:hAnsi="Arial"/>
          <w:sz w:val="24"/>
          <w:szCs w:val="24"/>
        </w:rPr>
        <w:t xml:space="preserve">Проведение реконструкции и модернизации отобранных существующих подстанций и распределительных линий и строительство отобранных новых подстанций и распределительных линий для снижения технических потерь в распределительной сети и повышения надежности электроснабжения.</w:t>
      </w:r>
    </w:p>
    <w:p>
      <w:pPr>
        <w:spacing w:after="60" w:before="200"/>
        <w:ind w:firstLine="567"/>
        <w:jc w:val="both"/>
      </w:pPr>
      <w:r>
        <w:rPr>
          <w:rFonts w:ascii="Arial" w:cs="Arial" w:eastAsia="Arial" w:hAnsi="Arial"/>
          <w:b/>
          <w:bCs/>
          <w:sz w:val="24"/>
          <w:szCs w:val="24"/>
        </w:rPr>
        <w:t xml:space="preserve">2. Цифровизация распределительной сети</w:t>
      </w:r>
    </w:p>
    <w:p>
      <w:pPr>
        <w:spacing w:after="60"/>
        <w:ind w:firstLine="567"/>
        <w:jc w:val="both"/>
      </w:pPr>
      <w:r>
        <w:rPr>
          <w:rFonts w:ascii="Arial" w:cs="Arial" w:eastAsia="Arial" w:hAnsi="Arial"/>
          <w:sz w:val="24"/>
          <w:szCs w:val="24"/>
        </w:rPr>
        <w:t xml:space="preserve">2.1. Установка современной измерительной инфраструктуры для снижения коммерческих потерь в распределительной сети и повышения собираемости оплаты счетов за электроэнергию.</w:t>
      </w:r>
    </w:p>
    <w:p>
      <w:pPr>
        <w:spacing w:after="60"/>
        <w:ind w:firstLine="567"/>
        <w:jc w:val="both"/>
      </w:pPr>
      <w:r>
        <w:rPr>
          <w:rFonts w:ascii="Arial" w:cs="Arial" w:eastAsia="Arial" w:hAnsi="Arial"/>
          <w:sz w:val="24"/>
          <w:szCs w:val="24"/>
        </w:rPr>
        <w:t xml:space="preserve">2.2. Предоставление и установка цифровых систем и оборудования для операционной деятельности распределительных компаний в отдельных регионах с целью повышения надежности электроснабжения и повышения операционной эффективности распределительной сети, а также обучение пользованию системами.</w:t>
      </w:r>
    </w:p>
    <w:p>
      <w:pPr>
        <w:spacing w:after="60" w:before="200"/>
        <w:ind w:firstLine="567"/>
        <w:jc w:val="both"/>
      </w:pPr>
      <w:r>
        <w:rPr>
          <w:rFonts w:ascii="Arial" w:cs="Arial" w:eastAsia="Arial" w:hAnsi="Arial"/>
          <w:b/>
          <w:bCs/>
          <w:sz w:val="24"/>
          <w:szCs w:val="24"/>
        </w:rPr>
        <w:t xml:space="preserve">3. Укрепление систем социальной защиты</w:t>
      </w:r>
    </w:p>
    <w:p>
      <w:pPr>
        <w:spacing w:after="60"/>
        <w:ind w:firstLine="567"/>
        <w:jc w:val="both"/>
      </w:pPr>
      <w:r>
        <w:rPr>
          <w:rFonts w:ascii="Arial" w:cs="Arial" w:eastAsia="Arial" w:hAnsi="Arial"/>
          <w:sz w:val="24"/>
          <w:szCs w:val="24"/>
        </w:rPr>
        <w:t xml:space="preserve">3.1. Повышение эффективности и оперативности систем социальной помощи Получателя для смягчения последствий повышения тарифов на электроэнергию для малообеспеченных и уязвимых домохозяйств в среднесрочной перспективе, включая, среди прочего, оказание технической помощи в разработке и оценке эффективности таких систем и обучении персонала МТСОМ реализации мер социальной защиты.</w:t>
      </w:r>
    </w:p>
    <w:p>
      <w:pPr>
        <w:spacing w:after="60"/>
        <w:ind w:firstLine="567"/>
        <w:jc w:val="both"/>
      </w:pPr>
      <w:r>
        <w:rPr>
          <w:rFonts w:ascii="Arial" w:cs="Arial" w:eastAsia="Arial" w:hAnsi="Arial"/>
          <w:sz w:val="24"/>
          <w:szCs w:val="24"/>
        </w:rPr>
        <w:t xml:space="preserve">3.2. Дополнение системы социальной помощи УБК Получателя для смягчения воздействия более высоких тарифов на электроэнергию на крайне бедные и уязвимые домохозяйства в краткосрочной перспективе посредством, среди прочего, предоставления технической помощи при определении мер социальной защиты таких домохозяйств.</w:t>
      </w:r>
    </w:p>
    <w:p>
      <w:pPr>
        <w:spacing w:after="60" w:before="200"/>
        <w:ind w:firstLine="567"/>
        <w:jc w:val="both"/>
      </w:pPr>
      <w:r>
        <w:rPr>
          <w:rFonts w:ascii="Arial" w:cs="Arial" w:eastAsia="Arial" w:hAnsi="Arial"/>
          <w:b/>
          <w:bCs/>
          <w:sz w:val="24"/>
          <w:szCs w:val="24"/>
        </w:rPr>
        <w:t xml:space="preserve">4. Институциональное развитие и поддержка реализации Проекта</w:t>
      </w:r>
    </w:p>
    <w:p>
      <w:pPr>
        <w:spacing w:after="60"/>
        <w:ind w:firstLine="567"/>
        <w:jc w:val="both"/>
      </w:pPr>
      <w:r>
        <w:rPr>
          <w:rFonts w:ascii="Arial" w:cs="Arial" w:eastAsia="Arial" w:hAnsi="Arial"/>
          <w:sz w:val="24"/>
          <w:szCs w:val="24"/>
        </w:rPr>
        <w:t xml:space="preserve">4.1. Укрепление институционального потенциала, управления, политики и нормативно-правовой базы энергетического сектора, включая, среди прочего, поддержку следующих направлений деятельности:</w:t>
      </w:r>
    </w:p>
    <w:p>
      <w:pPr>
        <w:spacing w:after="60"/>
        <w:ind w:firstLine="567"/>
        <w:jc w:val="both"/>
      </w:pPr>
      <w:r>
        <w:rPr>
          <w:rFonts w:ascii="Arial" w:cs="Arial" w:eastAsia="Arial" w:hAnsi="Arial"/>
          <w:sz w:val="24"/>
          <w:szCs w:val="24"/>
        </w:rPr>
        <w:t xml:space="preserve">(i) создание отдела отраслевого планирования в МЭ;</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 модернизация бизнес-процессов распределительных компаний;</w:t>
      </w:r>
    </w:p>
    <w:p>
      <w:pPr>
        <w:spacing w:after="60"/>
        <w:ind w:firstLine="567"/>
        <w:jc w:val="both"/>
      </w:pPr>
      <w:r>
        <w:rPr>
          <w:rFonts w:ascii="Arial" w:cs="Arial" w:eastAsia="Arial" w:hAnsi="Arial"/>
          <w:sz w:val="24"/>
          <w:szCs w:val="24"/>
        </w:rPr>
        <w:t xml:space="preserve">(iii) обучение персонала распределительных компаний проектированию сетей, монтажу оборудования, снижению потерь в энергосистемах и управлению финансами;</w:t>
      </w:r>
    </w:p>
    <w:p>
      <w:pPr>
        <w:spacing w:after="60"/>
        <w:ind w:firstLine="567"/>
        <w:jc w:val="both"/>
      </w:pPr>
      <w:r>
        <w:rPr>
          <w:rFonts w:ascii="Arial" w:cs="Arial" w:eastAsia="Arial" w:hAnsi="Arial"/>
          <w:sz w:val="24"/>
          <w:szCs w:val="24"/>
        </w:rPr>
        <w:t xml:space="preserve">(iv) коммуникационная кампания по тарифным реформам; план действий по гендерным вопросам; опросы по оценке удовлетворенности клиентов;</w:t>
      </w:r>
    </w:p>
    <w:p>
      <w:pPr>
        <w:spacing w:after="60"/>
        <w:ind w:firstLine="567"/>
        <w:jc w:val="both"/>
      </w:pPr>
      <w:r>
        <w:rPr>
          <w:rFonts w:ascii="Arial" w:cs="Arial" w:eastAsia="Arial" w:hAnsi="Arial"/>
          <w:sz w:val="24"/>
          <w:szCs w:val="24"/>
        </w:rPr>
        <w:t xml:space="preserve">(v) политический и нормативный обзор и оценки для укрепления нормативной и институциональной баз;</w:t>
      </w:r>
    </w:p>
    <w:p>
      <w:pPr>
        <w:spacing w:after="60"/>
        <w:ind w:firstLine="567"/>
        <w:jc w:val="both"/>
      </w:pPr>
      <w:r>
        <w:rPr>
          <w:rFonts w:ascii="Arial" w:cs="Arial" w:eastAsia="Arial" w:hAnsi="Arial"/>
          <w:sz w:val="24"/>
          <w:szCs w:val="24"/>
        </w:rPr>
        <w:t xml:space="preserve">(vi) разработка кодекса качества услуг и нормативов технического и эксплуатационного качества и надежности; и</w:t>
      </w:r>
    </w:p>
    <w:p>
      <w:pPr>
        <w:spacing w:after="60"/>
        <w:ind w:firstLine="567"/>
        <w:jc w:val="both"/>
      </w:pPr>
      <w:r>
        <w:rPr>
          <w:rFonts w:ascii="Arial" w:cs="Arial" w:eastAsia="Arial" w:hAnsi="Arial"/>
          <w:sz w:val="24"/>
          <w:szCs w:val="24"/>
        </w:rPr>
        <w:t xml:space="preserve">(vii) ключевые отраслевые исследования - в том числе, технико-экономические обоснования для будущих приоритетных инвестиционных проектов и другие отраслевые исследования для улучшения структуры отраслевого планирования и производительности предприятий.</w:t>
      </w:r>
    </w:p>
    <w:p>
      <w:pPr>
        <w:spacing w:after="60"/>
        <w:ind w:firstLine="567"/>
        <w:jc w:val="both"/>
      </w:pPr>
      <w:r>
        <w:rPr>
          <w:rFonts w:ascii="Arial" w:cs="Arial" w:eastAsia="Arial" w:hAnsi="Arial"/>
          <w:sz w:val="24"/>
          <w:szCs w:val="24"/>
        </w:rPr>
        <w:t xml:space="preserve">4.2. Оказание МЭ и ОУП поддержки в реализации Проекта, включая мониторинг, соблюдение экологических и социальных норм, ежегодные аудиты, обучение и Операционные расходы.</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Реализация Проекта</w:t>
      </w:r>
    </w:p>
    <w:p>
      <w:pPr>
        <w:spacing w:after="60" w:before="200"/>
        <w:ind w:firstLine="567"/>
        <w:jc w:val="both"/>
      </w:pPr>
      <w:r>
        <w:rPr>
          <w:rFonts w:ascii="Arial" w:cs="Arial" w:eastAsia="Arial" w:hAnsi="Arial"/>
          <w:b/>
          <w:bCs/>
          <w:sz w:val="24"/>
          <w:szCs w:val="24"/>
        </w:rPr>
        <w:t xml:space="preserve">Раздел I. Механизмы реализации</w:t>
      </w:r>
    </w:p>
    <w:p>
      <w:pPr>
        <w:spacing w:after="60" w:before="200"/>
        <w:ind w:firstLine="567"/>
        <w:jc w:val="both"/>
      </w:pPr>
      <w:r>
        <w:rPr>
          <w:rFonts w:ascii="Arial" w:cs="Arial" w:eastAsia="Arial" w:hAnsi="Arial"/>
          <w:b/>
          <w:bCs/>
          <w:sz w:val="24"/>
          <w:szCs w:val="24"/>
        </w:rPr>
        <w:t xml:space="preserve">A</w:t>
      </w:r>
      <w:r>
        <w:rPr>
          <w:rFonts w:ascii="Arial" w:cs="Arial" w:eastAsia="Arial" w:hAnsi="Arial"/>
          <w:b/>
          <w:bCs/>
          <w:sz w:val="24"/>
          <w:szCs w:val="24"/>
        </w:rPr>
        <w:t xml:space="preserve">. Институциональные механизмы</w:t>
      </w:r>
    </w:p>
    <w:p>
      <w:pPr>
        <w:spacing w:after="60"/>
        <w:ind w:firstLine="567"/>
        <w:jc w:val="both"/>
      </w:pPr>
      <w:r>
        <w:rPr>
          <w:rFonts w:ascii="Arial" w:cs="Arial" w:eastAsia="Arial" w:hAnsi="Arial"/>
          <w:sz w:val="24"/>
          <w:szCs w:val="24"/>
        </w:rPr>
        <w:t xml:space="preserve">1. Не позднее, чем через два (2) месяца после Даты вступления в силу, Получатель учреждает, а затем, на протяжении всего периода реализации Проекта, поддерживает Наблюдательный комитет, состав и круг полномочий которого подробно изложены в ОР. Наблюдательный комитет отвечает за содействие координации между участвующими агентствами и обеспечение общего стратегического руководства и руководства по вопросам проводимой политики.</w:t>
      </w:r>
    </w:p>
    <w:p>
      <w:pPr>
        <w:spacing w:after="60"/>
        <w:ind w:firstLine="567"/>
        <w:jc w:val="both"/>
      </w:pPr>
      <w:r>
        <w:rPr>
          <w:rFonts w:ascii="Arial" w:cs="Arial" w:eastAsia="Arial" w:hAnsi="Arial"/>
          <w:sz w:val="24"/>
          <w:szCs w:val="24"/>
        </w:rPr>
        <w:t xml:space="preserve">2. На протяжении всего периода реализации Проекта Получатель поддерживает Отдел управления Проектом ("ОУП") при МЭ с мандатом, функциями, ресурсами и персоналом в достаточном количестве и с соответствующей квалификацией, опытом и техническими заданиями, удовлетворяющими требованиям Ассоциации. Без ограничения вышеизложенного, ОУП должен: (а) включать, в числе прочих, специалиста по закупкам, специалиста по финансовому управлению, специалиста по мониторингу и оценке, специалиста по охране окружающей среды, специалиста по социальным вопросам, специалиста по охране труда и технике безопасности, обладающих квалификацией, опытом и техническими заданиями, удовлетворяющими требованиям Ассоциации; (</w:t>
      </w:r>
      <w:r>
        <w:rPr>
          <w:rFonts w:ascii="Arial" w:cs="Arial" w:eastAsia="Arial" w:hAnsi="Arial"/>
          <w:sz w:val="24"/>
          <w:szCs w:val="24"/>
        </w:rPr>
        <w:t xml:space="preserve">b</w:t>
      </w:r>
      <w:r>
        <w:rPr>
          <w:rFonts w:ascii="Arial" w:cs="Arial" w:eastAsia="Arial" w:hAnsi="Arial"/>
          <w:sz w:val="24"/>
          <w:szCs w:val="24"/>
        </w:rPr>
        <w:t xml:space="preserve">) отвечать за (I) планирование, координацию, реализацию, мониторинг и оценку; (II) закупки и финансовое управление; (III) управление социальными и экологическими стандартами; и (IV) отчетность по Проекту; и (с) включать отдел координации для Частей 1, 2 и 4 Проекта и отдел координации для Части 3; оба должны обладать функциями, ресурсами и персоналом в достаточном количестве, а также соответствующей квалификацией, опытом и техническими заданиями, удовлетворяющими требованиям Ассоциации.</w:t>
      </w:r>
    </w:p>
    <w:p>
      <w:pPr>
        <w:spacing w:after="60" w:before="200"/>
        <w:ind w:firstLine="567"/>
        <w:jc w:val="both"/>
      </w:pPr>
      <w:r>
        <w:rPr>
          <w:rFonts w:ascii="Arial" w:cs="Arial" w:eastAsia="Arial" w:hAnsi="Arial"/>
          <w:b/>
          <w:bCs/>
          <w:sz w:val="24"/>
          <w:szCs w:val="24"/>
        </w:rPr>
        <w:t xml:space="preserve">В. Соглашения о передаче активов</w:t>
      </w:r>
    </w:p>
    <w:p>
      <w:pPr>
        <w:spacing w:after="60"/>
        <w:ind w:firstLine="567"/>
        <w:jc w:val="both"/>
      </w:pPr>
      <w:r>
        <w:rPr>
          <w:rFonts w:ascii="Arial" w:cs="Arial" w:eastAsia="Arial" w:hAnsi="Arial"/>
          <w:sz w:val="24"/>
          <w:szCs w:val="24"/>
        </w:rPr>
        <w:t xml:space="preserve">1. Чтобы способствовать реализации Проекта, Получатель, действуя через МЭ, должен заключить соглашения с распределительными компаниями на условиях, удовлетворяющих требованиям Ассоциации ("Соглашения о передаче активов"), которые включают, среди прочего, обязательство Получателя передавать соответствующей распределительной компании активы, приобретенные за счет средств Финансирования для Частей 1 и 2 Проекта.</w:t>
      </w:r>
    </w:p>
    <w:p>
      <w:pPr>
        <w:spacing w:after="60"/>
        <w:ind w:firstLine="567"/>
        <w:jc w:val="both"/>
      </w:pPr>
      <w:r>
        <w:rPr>
          <w:rFonts w:ascii="Arial" w:cs="Arial" w:eastAsia="Arial" w:hAnsi="Arial"/>
          <w:sz w:val="24"/>
          <w:szCs w:val="24"/>
        </w:rPr>
        <w:t xml:space="preserve">2. Получатель осуществляет свои права в рамках каждого Соглашения о передаче активов таким образом, чтобы обеспечивать защиту интересов Получателя и Ассоциации, а также для достижения целей Финансирования.</w:t>
      </w:r>
    </w:p>
    <w:p>
      <w:pPr>
        <w:spacing w:after="60"/>
        <w:ind w:firstLine="567"/>
        <w:jc w:val="both"/>
      </w:pPr>
      <w:r>
        <w:rPr>
          <w:rFonts w:ascii="Arial" w:cs="Arial" w:eastAsia="Arial" w:hAnsi="Arial"/>
          <w:sz w:val="24"/>
          <w:szCs w:val="24"/>
        </w:rPr>
        <w:t xml:space="preserve">3. В отсутствие иной договоренности с Ассоциацией Получатель не может переуступать, изменять, аннулировать, отказываться от исполнения или не применять Соглашение о передаче активов или какие-либо из его положений.</w:t>
      </w:r>
    </w:p>
    <w:p>
      <w:pPr>
        <w:spacing w:after="60" w:before="200"/>
        <w:ind w:firstLine="567"/>
        <w:jc w:val="both"/>
      </w:pPr>
      <w:r>
        <w:rPr>
          <w:rFonts w:ascii="Arial" w:cs="Arial" w:eastAsia="Arial" w:hAnsi="Arial"/>
          <w:b/>
          <w:bCs/>
          <w:sz w:val="24"/>
          <w:szCs w:val="24"/>
        </w:rPr>
        <w:t xml:space="preserve">C. Руководство по Проекту</w:t>
      </w:r>
    </w:p>
    <w:p>
      <w:pPr>
        <w:spacing w:after="60"/>
        <w:ind w:firstLine="567"/>
        <w:jc w:val="both"/>
      </w:pPr>
      <w:r>
        <w:rPr>
          <w:rFonts w:ascii="Arial" w:cs="Arial" w:eastAsia="Arial" w:hAnsi="Arial"/>
          <w:sz w:val="24"/>
          <w:szCs w:val="24"/>
        </w:rPr>
        <w:t xml:space="preserve">1. Получатель, действуя через МЭ, принимает Операционное руководство по Проекту (ОР) удовлетворяющим требованиям Ассоциации способом и обеспечивает реализацию Проекта в соответствии с ОР, в котором будут излагаться правила, методы, руководящие принципы и процедуры реализации Проекта, включая, в числе прочего:</w:t>
      </w:r>
    </w:p>
    <w:p>
      <w:pPr>
        <w:spacing w:after="60"/>
        <w:ind w:firstLine="567"/>
        <w:jc w:val="both"/>
      </w:pPr>
      <w:r>
        <w:rPr>
          <w:rFonts w:ascii="Arial" w:cs="Arial" w:eastAsia="Arial" w:hAnsi="Arial"/>
          <w:sz w:val="24"/>
          <w:szCs w:val="24"/>
        </w:rPr>
        <w:t xml:space="preserve">(a) подробное описание Проекта и институциональных механизмов реализации Проекта;</w:t>
      </w:r>
    </w:p>
    <w:p>
      <w:pPr>
        <w:spacing w:after="60"/>
        <w:ind w:firstLine="567"/>
        <w:jc w:val="both"/>
      </w:pPr>
      <w:r>
        <w:rPr>
          <w:rFonts w:ascii="Arial" w:cs="Arial" w:eastAsia="Arial" w:hAnsi="Arial"/>
          <w:sz w:val="24"/>
          <w:szCs w:val="24"/>
        </w:rPr>
        <w:t xml:space="preserve">(b) критерии отбора, критерии приемлемости и процедуры отбора подпроектов в рамках Части 1 Проекта;</w:t>
      </w:r>
    </w:p>
    <w:p>
      <w:pPr>
        <w:spacing w:after="60"/>
        <w:ind w:firstLine="567"/>
        <w:jc w:val="both"/>
      </w:pPr>
      <w:r>
        <w:rPr>
          <w:rFonts w:ascii="Arial" w:cs="Arial" w:eastAsia="Arial" w:hAnsi="Arial"/>
          <w:sz w:val="24"/>
          <w:szCs w:val="24"/>
        </w:rPr>
        <w:t xml:space="preserve">(c) процедуры мониторинга, оценки, отчетности и управления для Проекта; и</w:t>
      </w:r>
    </w:p>
    <w:p>
      <w:pPr>
        <w:spacing w:after="60"/>
        <w:ind w:firstLine="567"/>
        <w:jc w:val="both"/>
      </w:pPr>
      <w:r>
        <w:rPr>
          <w:rFonts w:ascii="Arial" w:cs="Arial" w:eastAsia="Arial" w:hAnsi="Arial"/>
          <w:sz w:val="24"/>
          <w:szCs w:val="24"/>
        </w:rPr>
        <w:t xml:space="preserve">(d) Протокол верификации; и</w:t>
      </w:r>
    </w:p>
    <w:p>
      <w:pPr>
        <w:spacing w:after="60"/>
        <w:ind w:firstLine="567"/>
        <w:jc w:val="both"/>
      </w:pPr>
      <w:r>
        <w:rPr>
          <w:rFonts w:ascii="Arial" w:cs="Arial" w:eastAsia="Arial" w:hAnsi="Arial"/>
          <w:sz w:val="24"/>
          <w:szCs w:val="24"/>
        </w:rPr>
        <w:t xml:space="preserve">(e) общие процедуры выплат, финансового управления, аудита и закупок для Проекта.</w:t>
      </w:r>
    </w:p>
    <w:p>
      <w:pPr>
        <w:spacing w:after="60" w:before="200"/>
        <w:ind w:firstLine="567"/>
        <w:jc w:val="both"/>
      </w:pPr>
      <w:r>
        <w:rPr>
          <w:rFonts w:ascii="Arial" w:cs="Arial" w:eastAsia="Arial" w:hAnsi="Arial"/>
          <w:b/>
          <w:bCs/>
          <w:sz w:val="24"/>
          <w:szCs w:val="24"/>
        </w:rPr>
        <w:t xml:space="preserve">D. Годовой план работы</w:t>
      </w:r>
    </w:p>
    <w:p>
      <w:pPr>
        <w:spacing w:after="60"/>
        <w:ind w:firstLine="567"/>
        <w:jc w:val="both"/>
      </w:pPr>
      <w:r>
        <w:rPr>
          <w:rFonts w:ascii="Arial" w:cs="Arial" w:eastAsia="Arial" w:hAnsi="Arial"/>
          <w:sz w:val="24"/>
          <w:szCs w:val="24"/>
        </w:rPr>
        <w:t xml:space="preserve">1. Получатель составляет и, не позднее [15 ноября] каждого календарного года, представляет Ассоциации на рассмотрение проект плана работы по мероприятиям, предлагаемым для включения в Проект на следующий календарный год, который состоит из следующего: (а) подробное расписание для согласования последовательности и реализации предлагаемых мероприятий по Проекту; (</w:t>
      </w:r>
      <w:r>
        <w:rPr>
          <w:rFonts w:ascii="Arial" w:cs="Arial" w:eastAsia="Arial" w:hAnsi="Arial"/>
          <w:sz w:val="24"/>
          <w:szCs w:val="24"/>
        </w:rPr>
        <w:t xml:space="preserve">b</w:t>
      </w:r>
      <w:r>
        <w:rPr>
          <w:rFonts w:ascii="Arial" w:cs="Arial" w:eastAsia="Arial" w:hAnsi="Arial"/>
          <w:sz w:val="24"/>
          <w:szCs w:val="24"/>
        </w:rPr>
        <w:t xml:space="preserve">) типы необходимых для таких мероприятий расходов и предлагаемый план финансирования (включая необходимые средства и ресурсы, которые должны быть предоставлены Получателем для осуществления таких расходов); (с) любые учебные мероприятия, которые могут потребоваться в рамках Проекта; и (d) ссылка на реализацию указанных видов деятельности, согласно положениям Раздела </w:t>
      </w:r>
      <w:r>
        <w:rPr>
          <w:rFonts w:ascii="Arial" w:cs="Arial" w:eastAsia="Arial" w:hAnsi="Arial"/>
          <w:sz w:val="24"/>
          <w:szCs w:val="24"/>
        </w:rPr>
        <w:t xml:space="preserve">I</w:t>
      </w:r>
      <w:r>
        <w:rPr>
          <w:rFonts w:ascii="Arial" w:cs="Arial" w:eastAsia="Arial" w:hAnsi="Arial"/>
          <w:sz w:val="24"/>
          <w:szCs w:val="24"/>
        </w:rPr>
        <w:t xml:space="preserve">.Е настоящего Приложения 2.</w:t>
      </w:r>
    </w:p>
    <w:p>
      <w:pPr>
        <w:spacing w:after="60"/>
        <w:ind w:firstLine="567"/>
        <w:jc w:val="both"/>
      </w:pPr>
      <w:r>
        <w:rPr>
          <w:rFonts w:ascii="Arial" w:cs="Arial" w:eastAsia="Arial" w:hAnsi="Arial"/>
          <w:sz w:val="24"/>
          <w:szCs w:val="24"/>
        </w:rPr>
        <w:t xml:space="preserve">2. Получатель предоставляет Ассоциации обоснованную возможность изучать каждый такой предлагаемый плану работы и бюджет, и, впоследствии, обеспечивает реализацию Проекта с должной осмотрительностью и эффективностью в соответствии с таким планом работы, который должен быть утвержден Ассоциацией ("Годовой План работы").</w:t>
      </w:r>
    </w:p>
    <w:p>
      <w:pPr>
        <w:spacing w:after="60" w:before="200"/>
        <w:ind w:firstLine="567"/>
        <w:jc w:val="both"/>
      </w:pPr>
      <w:r>
        <w:rPr>
          <w:rFonts w:ascii="Arial" w:cs="Arial" w:eastAsia="Arial" w:hAnsi="Arial"/>
          <w:b/>
          <w:bCs/>
          <w:sz w:val="24"/>
          <w:szCs w:val="24"/>
        </w:rPr>
        <w:t xml:space="preserve">E. Экологические и социальные стандарты</w:t>
      </w:r>
    </w:p>
    <w:p>
      <w:pPr>
        <w:spacing w:after="60"/>
        <w:ind w:firstLine="567"/>
        <w:jc w:val="both"/>
      </w:pPr>
      <w:r>
        <w:rPr>
          <w:rFonts w:ascii="Arial" w:cs="Arial" w:eastAsia="Arial" w:hAnsi="Arial"/>
          <w:sz w:val="24"/>
          <w:szCs w:val="24"/>
        </w:rPr>
        <w:t xml:space="preserve">1. Получатель обеспечивает реализацию Проекта в соответствии с Экологическими и социальными стандартами приемлемым для Ассоциации образом.</w:t>
      </w:r>
    </w:p>
    <w:p>
      <w:pPr>
        <w:spacing w:after="60"/>
        <w:ind w:firstLine="567"/>
        <w:jc w:val="both"/>
      </w:pPr>
      <w:r>
        <w:rPr>
          <w:rFonts w:ascii="Arial" w:cs="Arial" w:eastAsia="Arial" w:hAnsi="Arial"/>
          <w:sz w:val="24"/>
          <w:szCs w:val="24"/>
        </w:rPr>
        <w:t xml:space="preserve">2. Без ограничения положений вышеизложенного пункта 1, Получатель обеспечивает реализацию Проекта в соответствии с Планом экологических и социальных обязательств (ПЭСО) приемлемым для Ассоциации образом. Для этого Получатель обеспечивает следующее:</w:t>
      </w:r>
    </w:p>
    <w:p>
      <w:pPr>
        <w:spacing w:after="60"/>
        <w:ind w:firstLine="567"/>
        <w:jc w:val="both"/>
      </w:pPr>
      <w:r>
        <w:rPr>
          <w:rFonts w:ascii="Arial" w:cs="Arial" w:eastAsia="Arial" w:hAnsi="Arial"/>
          <w:sz w:val="24"/>
          <w:szCs w:val="24"/>
        </w:rPr>
        <w:t xml:space="preserve">(a) осуществление мер и действий, указанных в ПЭСО, с должной ответственностью и эффективностью, как это предусмотрено в ПЭСО;</w:t>
      </w:r>
    </w:p>
    <w:p>
      <w:pPr>
        <w:spacing w:after="60"/>
        <w:ind w:firstLine="567"/>
        <w:jc w:val="both"/>
      </w:pPr>
      <w:r>
        <w:rPr>
          <w:rFonts w:ascii="Arial" w:cs="Arial" w:eastAsia="Arial" w:hAnsi="Arial"/>
          <w:sz w:val="24"/>
          <w:szCs w:val="24"/>
        </w:rPr>
        <w:t xml:space="preserve">(b) наличие достаточных средств для покрытия расходов на реализацию ПЭСО;</w:t>
      </w:r>
    </w:p>
    <w:p>
      <w:pPr>
        <w:spacing w:after="60"/>
        <w:ind w:firstLine="567"/>
        <w:jc w:val="both"/>
      </w:pPr>
      <w:r>
        <w:rPr>
          <w:rFonts w:ascii="Arial" w:cs="Arial" w:eastAsia="Arial" w:hAnsi="Arial"/>
          <w:sz w:val="24"/>
          <w:szCs w:val="24"/>
        </w:rPr>
        <w:t xml:space="preserve">(c) проведение политики и соблюдение процедур, а также удержание квалифицированного и опытного персонала в достаточном количестве для реализации ПЭСО, как это предусмотрено в ПЭСО; и</w:t>
      </w:r>
    </w:p>
    <w:p>
      <w:pPr>
        <w:spacing w:after="60"/>
        <w:ind w:firstLine="567"/>
        <w:jc w:val="both"/>
      </w:pPr>
      <w:r>
        <w:rPr>
          <w:rFonts w:ascii="Arial" w:cs="Arial" w:eastAsia="Arial" w:hAnsi="Arial"/>
          <w:sz w:val="24"/>
          <w:szCs w:val="24"/>
        </w:rPr>
        <w:t xml:space="preserve">(d) недопущение изменения, аннулирования, приостановки или отказа от выполнения ПЭСО или любых его положений, за исключением случаев, когда Ассоциация дает свое согласие на это в письменной форме, как это предусмотрено в ПЭСО, и обеспечивает последующее оперативное раскрытие пересмотренного ПЭСО.</w:t>
      </w:r>
    </w:p>
    <w:p>
      <w:pPr>
        <w:spacing w:after="60"/>
        <w:ind w:firstLine="567"/>
        <w:jc w:val="both"/>
      </w:pPr>
      <w:r>
        <w:rPr>
          <w:rFonts w:ascii="Arial" w:cs="Arial" w:eastAsia="Arial" w:hAnsi="Arial"/>
          <w:sz w:val="24"/>
          <w:szCs w:val="24"/>
        </w:rPr>
        <w:t xml:space="preserve">3. В случае каких-либо расхождений между ПЭСО и положениями настоящего Соглашения, положения настоящего Соглашения имеют преимущественную силу.</w:t>
      </w:r>
    </w:p>
    <w:p>
      <w:pPr>
        <w:spacing w:after="60"/>
        <w:ind w:firstLine="567"/>
        <w:jc w:val="both"/>
      </w:pPr>
      <w:r>
        <w:rPr>
          <w:rFonts w:ascii="Arial" w:cs="Arial" w:eastAsia="Arial" w:hAnsi="Arial"/>
          <w:sz w:val="24"/>
          <w:szCs w:val="24"/>
        </w:rPr>
        <w:t xml:space="preserve">4. Получатель обеспечивает следующее:</w:t>
      </w:r>
    </w:p>
    <w:p>
      <w:pPr>
        <w:spacing w:after="60"/>
        <w:ind w:firstLine="567"/>
        <w:jc w:val="both"/>
      </w:pPr>
      <w:r>
        <w:rPr>
          <w:rFonts w:ascii="Arial" w:cs="Arial" w:eastAsia="Arial" w:hAnsi="Arial"/>
          <w:sz w:val="24"/>
          <w:szCs w:val="24"/>
        </w:rPr>
        <w:t xml:space="preserve">(a) принятие со своей стороны всех мер, необходимых для сбора, компиляции и предоставления данных Ассоциации в виде регулярных отчетов с указанной в ПЭСО периодичностью, а также незамедлительно в виде отдельного отчета или отчетов по требованию Ассоциации, информации о статусе соблюдения требований ПЭСО и упоминаемых в нем экологических и социальных инструментов; при этом, все такие отчеты по своей форме и своему содержанию должны быть приемлемыми для Ассоциации, с определением, помимо прочего: (i) статуса реализации ПЭСО; (</w:t>
      </w:r>
      <w:r>
        <w:rPr>
          <w:rFonts w:ascii="Arial" w:cs="Arial" w:eastAsia="Arial" w:hAnsi="Arial"/>
          <w:sz w:val="24"/>
          <w:szCs w:val="24"/>
        </w:rPr>
        <w:t xml:space="preserve">ii</w:t>
      </w:r>
      <w:r>
        <w:rPr>
          <w:rFonts w:ascii="Arial" w:cs="Arial" w:eastAsia="Arial" w:hAnsi="Arial"/>
          <w:sz w:val="24"/>
          <w:szCs w:val="24"/>
        </w:rPr>
        <w:t xml:space="preserve">) препятствующих реализации ПЭСО условий, при наличии таковых; и (iii) корректирующих и превентивных мер, принятых или необходимых для устранения таковых условий; и</w:t>
      </w:r>
    </w:p>
    <w:p>
      <w:pPr>
        <w:spacing w:after="60"/>
        <w:ind w:firstLine="567"/>
        <w:jc w:val="both"/>
      </w:pPr>
      <w:r>
        <w:rPr>
          <w:rFonts w:ascii="Arial" w:cs="Arial" w:eastAsia="Arial" w:hAnsi="Arial"/>
          <w:sz w:val="24"/>
          <w:szCs w:val="24"/>
        </w:rPr>
        <w:t xml:space="preserve">(b) незамедлительное уведомление Ассоциации о любых инцидентах или несчастных случаях, связанных с Проектом либо воздействующих на Проект, которые оказывают или могут оказать значительное отрицательное воздействие на окружающую среду, затрагиваемые Проектом сообщества, общественность или работников в соответствии с ПЭСО, упоминаемыми в нем экологическими и социальными инструментами, а также экологическими и социальными стандартами.</w:t>
      </w:r>
    </w:p>
    <w:p>
      <w:pPr>
        <w:spacing w:after="60"/>
        <w:ind w:firstLine="567"/>
        <w:jc w:val="both"/>
      </w:pPr>
      <w:r>
        <w:rPr>
          <w:rFonts w:ascii="Arial" w:cs="Arial" w:eastAsia="Arial" w:hAnsi="Arial"/>
          <w:sz w:val="24"/>
          <w:szCs w:val="24"/>
        </w:rPr>
        <w:t xml:space="preserve">5. Получатель обязуется создать, опубликовать, поддерживать и использовать доступный механизм рассмотрения жалоб, получать и содействовать разрешению жалоб и проблем затрагиваемых Проектом лиц, и принимать все необходимые и надлежащие меры для разрешения или содействия разрешению таких жалоб и проблем приемлемым для Ассоциации способом.</w:t>
      </w:r>
    </w:p>
    <w:p>
      <w:pPr>
        <w:spacing w:after="60"/>
        <w:ind w:firstLine="567"/>
        <w:jc w:val="both"/>
      </w:pPr>
      <w:r>
        <w:rPr>
          <w:rFonts w:ascii="Arial" w:cs="Arial" w:eastAsia="Arial" w:hAnsi="Arial"/>
          <w:sz w:val="24"/>
          <w:szCs w:val="24"/>
        </w:rPr>
        <w:t xml:space="preserve">6. Получатель обязуется обеспечить, чтобы вся тендерная документация и контракты на строительные работы в рамках Проекта включали в себя обязательство подрядчиков, субподрядчиков и надзорных организаций: (а) соблюдать соответствующие аспекты ПЭСО и упоминаемые в нем экологические и социальные инструменты; и (</w:t>
      </w:r>
      <w:r>
        <w:rPr>
          <w:rFonts w:ascii="Arial" w:cs="Arial" w:eastAsia="Arial" w:hAnsi="Arial"/>
          <w:sz w:val="24"/>
          <w:szCs w:val="24"/>
        </w:rPr>
        <w:t xml:space="preserve">b</w:t>
      </w:r>
      <w:r>
        <w:rPr>
          <w:rFonts w:ascii="Arial" w:cs="Arial" w:eastAsia="Arial" w:hAnsi="Arial"/>
          <w:sz w:val="24"/>
          <w:szCs w:val="24"/>
        </w:rPr>
        <w:t xml:space="preserve">) принять и обеспечить соблюдение кодексов поведения, с которыми должны быть ознакомлены работники и которые должны быть подписаны всеми работниками, с подробным описанием мер по устранению экологических, социальных рисков, рисков для здоровья и безопасности, а также рисков, связанных с сексуальной эксплуатацией, надругательствами, сексуальными домогательствами и насилием в отношении детей - все это должно быть применимо к сданным в эксплуатацию строительным объектам или осуществляемым строительным работам в соответствии с указанными контрактами.</w:t>
      </w:r>
    </w:p>
    <w:p>
      <w:pPr>
        <w:spacing w:after="60" w:before="200"/>
        <w:ind w:firstLine="567"/>
        <w:jc w:val="both"/>
      </w:pPr>
      <w:r>
        <w:rPr>
          <w:rFonts w:ascii="Arial" w:cs="Arial" w:eastAsia="Arial" w:hAnsi="Arial"/>
          <w:b/>
          <w:bCs/>
          <w:sz w:val="24"/>
          <w:szCs w:val="24"/>
        </w:rPr>
        <w:t xml:space="preserve">Раздел II. Мониторинг, отчетность и оценка Проекта</w:t>
      </w:r>
    </w:p>
    <w:p>
      <w:pPr>
        <w:spacing w:after="60"/>
        <w:ind w:firstLine="567"/>
        <w:jc w:val="both"/>
      </w:pPr>
      <w:r>
        <w:rPr>
          <w:rFonts w:ascii="Arial" w:cs="Arial" w:eastAsia="Arial" w:hAnsi="Arial"/>
          <w:sz w:val="24"/>
          <w:szCs w:val="24"/>
        </w:rPr>
        <w:t xml:space="preserve">Получатель предоставляет Ассоциации каждый Отчет по Проекту, охватывающий период продолжительностью в одно календарное полугодие, не позднее, чем через один месяц после окончания соответствующего календарного полугодия.</w:t>
      </w:r>
    </w:p>
    <w:p>
      <w:pPr>
        <w:spacing w:after="60" w:before="200"/>
        <w:ind w:firstLine="567"/>
        <w:jc w:val="both"/>
      </w:pPr>
      <w:r>
        <w:rPr>
          <w:rFonts w:ascii="Arial" w:cs="Arial" w:eastAsia="Arial" w:hAnsi="Arial"/>
          <w:b/>
          <w:bCs/>
          <w:sz w:val="24"/>
          <w:szCs w:val="24"/>
        </w:rPr>
        <w:t xml:space="preserve">Раздел III. Снятие средств финансирования</w:t>
      </w:r>
    </w:p>
    <w:p>
      <w:pPr>
        <w:spacing w:after="60" w:before="200"/>
        <w:ind w:firstLine="567"/>
        <w:jc w:val="both"/>
      </w:pPr>
      <w:r>
        <w:rPr>
          <w:rFonts w:ascii="Arial" w:cs="Arial" w:eastAsia="Arial" w:hAnsi="Arial"/>
          <w:b/>
          <w:bCs/>
          <w:sz w:val="24"/>
          <w:szCs w:val="24"/>
        </w:rPr>
        <w:t xml:space="preserve">А. Общие положения</w:t>
      </w:r>
    </w:p>
    <w:p>
      <w:pPr>
        <w:spacing w:after="120"/>
        <w:ind w:firstLine="567"/>
        <w:jc w:val="both"/>
      </w:pPr>
      <w:r>
        <w:rPr>
          <w:rFonts w:ascii="Arial" w:cs="Arial" w:eastAsia="Arial" w:hAnsi="Arial"/>
          <w:sz w:val="24"/>
          <w:szCs w:val="24"/>
        </w:rPr>
        <w:t xml:space="preserve">Без ограничений в отношении положений Статьи II Общих условий, и в соответствии с Письмом с информацией о выплатах и финансовой информацией, Получатель может производить снятие средств Финансирования для: (а) финансирования Допустимых расходов в пределах выделенной суммы и, если применимо, вплоть до процентной доли, указанной для каждой Категории в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9"/>
        <w:gridCol w:w="1671"/>
        <w:gridCol w:w="2198"/>
        <w:gridCol w:w="1671"/>
        <w:gridCol w:w="2198"/>
      </w:tblGrid>
      <w:tr>
        <w:tc>
          <w:tcPr>
            <w:tcW w:type="dxa" w:w="24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Гранта (выраженная в СПЗ)</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расходов, подлежащих финансированию из средств Гранта (включая налоги)</w:t>
            </w:r>
          </w:p>
        </w:tc>
        <w:tc>
          <w:tcPr>
            <w:tcW w:type="dxa" w:w="1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Кредита (выраженная в СПЗ)</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расходов, подлежащих финансированию из средств Кредита (включая налоги)</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неконсультационные услуги и консультационные услуги, Операционные расходы и Обучение в рамках Части 2.1 Проекта</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[8900000]</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[11200000]</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Товары, работы, неконсультационные услуги, консультационные услуги, Операционные расходы и Обучение в рамках Части 3 Проекта</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[2200000]</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Товары, работы, неконсультационные услуги, консультационные услуги, Операционные расходы и Обучение в рамках Части 4.2 Проекта</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[750000]</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Товары, работы, неконсультационные услуги, консультационные услуги, Операционные расходы и Обучение в рамках Частей 1 и 2.2 Проекта и в соответствии с УОЭ 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[6000000]</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100% суммы Гранта, выделенного для УОЭ, как указано в Приложении 4 к настоящему Соглашению</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[7400000]</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100% суммы Кредита, выделенной для УОЭ, как указано в Приложении 4 к настоящему Соглашению</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Товары, работы, неконсультационные услуги, консультационные услуги и Обучение в рамках Части 4.1 Проекта и в соответствии с УОЭ 2</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[750000]</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100% суммы Гранта, выделенного для УОЭ, как указано в Приложении 4 к настоящему Соглашению</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[18600000</w:t>
            </w:r>
            <w:r>
              <w:rPr>
                <w:rFonts w:ascii="Arial" w:cs="Arial" w:eastAsia="Arial" w:hAnsi="Arial"/>
                <w:b/>
                <w:bCs/>
                <w:sz w:val="24"/>
                <w:szCs w:val="24"/>
              </w:rPr>
              <w:t xml:space="preserve">]</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[18600000]</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В. Условия снятия средств; Период снятия средств</w:t>
      </w:r>
    </w:p>
    <w:p>
      <w:pPr>
        <w:spacing w:after="60"/>
        <w:ind w:firstLine="567"/>
        <w:jc w:val="both"/>
      </w:pPr>
      <w:r>
        <w:rPr>
          <w:rFonts w:ascii="Arial" w:cs="Arial" w:eastAsia="Arial" w:hAnsi="Arial"/>
          <w:sz w:val="24"/>
          <w:szCs w:val="24"/>
        </w:rPr>
        <w:t xml:space="preserve">1. Независимо от положений Части А настоящего Раздела, не допускается выборка средств:</w:t>
      </w:r>
    </w:p>
    <w:p>
      <w:pPr>
        <w:spacing w:after="60"/>
        <w:ind w:firstLine="567"/>
        <w:jc w:val="both"/>
      </w:pPr>
      <w:r>
        <w:rPr>
          <w:rFonts w:ascii="Arial" w:cs="Arial" w:eastAsia="Arial" w:hAnsi="Arial"/>
          <w:sz w:val="24"/>
          <w:szCs w:val="24"/>
        </w:rPr>
        <w:t xml:space="preserve">(a) для осуществления выплат, произведенных до Даты подписания, за исключением того, что выборка средств вплоть до совокупной суммы, не превышающей эквивалент 1000000 долларов США, может быть произведена для платежей, произведенных до этой даты, но не ранее 1 марта 2022 года, в отношении Приемлемых расходов по Категории (3); или</w:t>
      </w:r>
    </w:p>
    <w:p>
      <w:pPr>
        <w:spacing w:after="60"/>
        <w:ind w:firstLine="567"/>
        <w:jc w:val="both"/>
      </w:pPr>
      <w:r>
        <w:rPr>
          <w:rFonts w:ascii="Arial" w:cs="Arial" w:eastAsia="Arial" w:hAnsi="Arial"/>
          <w:sz w:val="24"/>
          <w:szCs w:val="24"/>
        </w:rPr>
        <w:t xml:space="preserve">(b) по Категориям (4) и (5), если и до тех пор, пока Получатель (а) не предоставит Ассоциации приемлемые для Ассоциации доказательства в соответствии с требованиями, изложенными в Протоколе верификации и Письме с информацией о выплатах и финансовой информацией, подтверждающие достижение соответствующего УОЭ; и (</w:t>
      </w:r>
      <w:r>
        <w:rPr>
          <w:rFonts w:ascii="Arial" w:cs="Arial" w:eastAsia="Arial" w:hAnsi="Arial"/>
          <w:sz w:val="24"/>
          <w:szCs w:val="24"/>
        </w:rPr>
        <w:t xml:space="preserve">b</w:t>
      </w:r>
      <w:r>
        <w:rPr>
          <w:rFonts w:ascii="Arial" w:cs="Arial" w:eastAsia="Arial" w:hAnsi="Arial"/>
          <w:sz w:val="24"/>
          <w:szCs w:val="24"/>
        </w:rPr>
        <w:t xml:space="preserve">) доказательства, приемлемые для Ассоциации по своей форме и содержанию, подтверждающие осуществление Приемлемых расходов в размере, равном, по крайней мере, сумме, подлежащей выборке по такой Категории в отношении каждого УОЭ.</w:t>
      </w:r>
    </w:p>
    <w:p>
      <w:pPr>
        <w:spacing w:after="60"/>
        <w:ind w:firstLine="567"/>
        <w:jc w:val="both"/>
      </w:pPr>
      <w:r>
        <w:rPr>
          <w:rFonts w:ascii="Arial" w:cs="Arial" w:eastAsia="Arial" w:hAnsi="Arial"/>
          <w:sz w:val="24"/>
          <w:szCs w:val="24"/>
        </w:rPr>
        <w:t xml:space="preserve">2. Несмотря на положения Частей А и В.1 (</w:t>
      </w:r>
      <w:r>
        <w:rPr>
          <w:rFonts w:ascii="Arial" w:cs="Arial" w:eastAsia="Arial" w:hAnsi="Arial"/>
          <w:sz w:val="24"/>
          <w:szCs w:val="24"/>
        </w:rPr>
        <w:t xml:space="preserve">b</w:t>
      </w:r>
      <w:r>
        <w:rPr>
          <w:rFonts w:ascii="Arial" w:cs="Arial" w:eastAsia="Arial" w:hAnsi="Arial"/>
          <w:sz w:val="24"/>
          <w:szCs w:val="24"/>
        </w:rPr>
        <w:t xml:space="preserve">) настоящего Раздела, сумма Финансирования, подлежащая изъятию после подтвержденного достижения любой Цели УОЭ, должна соответствовать сумме, выделенной для такой Цели УОЭ, как указано в Приложении 4 к настоящему Соглашению.</w:t>
      </w:r>
    </w:p>
    <w:p>
      <w:pPr>
        <w:spacing w:after="60"/>
        <w:ind w:firstLine="567"/>
        <w:jc w:val="both"/>
      </w:pPr>
      <w:r>
        <w:rPr>
          <w:rFonts w:ascii="Arial" w:cs="Arial" w:eastAsia="Arial" w:hAnsi="Arial"/>
          <w:sz w:val="24"/>
          <w:szCs w:val="24"/>
        </w:rPr>
        <w:t xml:space="preserve">3. В отношении УОЭ по Категориям (4) и (5) Получатель может запрашивать выборку средств, когда соответствующие расходы были понесены, но до того, как УОЭ будут полностью выполнены, при условии, что Получатель: (а) выполнит такие УОЭ не позднее Даты закрытия; и (</w:t>
      </w:r>
      <w:r>
        <w:rPr>
          <w:rFonts w:ascii="Arial" w:cs="Arial" w:eastAsia="Arial" w:hAnsi="Arial"/>
          <w:sz w:val="24"/>
          <w:szCs w:val="24"/>
        </w:rPr>
        <w:t xml:space="preserve">b</w:t>
      </w:r>
      <w:r>
        <w:rPr>
          <w:rFonts w:ascii="Arial" w:cs="Arial" w:eastAsia="Arial" w:hAnsi="Arial"/>
          <w:sz w:val="24"/>
          <w:szCs w:val="24"/>
        </w:rPr>
        <w:t xml:space="preserve">) представит Ассоциации удовлетворяющие требованиям Ассоциации доказательства того, что такие УОЭ были выполнены не позднее Крайнего срока выплаты.</w:t>
      </w:r>
    </w:p>
    <w:p>
      <w:pPr>
        <w:spacing w:after="60"/>
        <w:ind w:firstLine="567"/>
        <w:jc w:val="both"/>
      </w:pPr>
      <w:r>
        <w:rPr>
          <w:rFonts w:ascii="Arial" w:cs="Arial" w:eastAsia="Arial" w:hAnsi="Arial"/>
          <w:sz w:val="24"/>
          <w:szCs w:val="24"/>
        </w:rPr>
        <w:t xml:space="preserve">4. Если к, или до, Крайнему сроку выплаты Получатель не предоставил Ассоциации удовлетворяющие требованиям Ассоциации доказательства того, что УОЭ по Категориям (4) и (5) были полностью выполнены, Получатель должен, после получения уведомления от Ассоциации, незамедлительно возместить Ассоциации сумму Выбранного остатка Финансирования, относящуюся к таким УОЭ по Категориям (4) и (5). За исключением случаев, когда Ассоциацией может быть принято иное решение, Ассоциация аннулирует все суммы, возмещенные в соответствии с настоящим Разделом.</w:t>
      </w:r>
    </w:p>
    <w:p>
      <w:pPr>
        <w:spacing w:after="60"/>
        <w:ind w:firstLine="567"/>
        <w:jc w:val="both"/>
      </w:pPr>
      <w:r>
        <w:rPr>
          <w:rFonts w:ascii="Arial" w:cs="Arial" w:eastAsia="Arial" w:hAnsi="Arial"/>
          <w:sz w:val="24"/>
          <w:szCs w:val="24"/>
        </w:rPr>
        <w:t xml:space="preserve">5. Датой Закрытия является 31 декабря 2027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График погашения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0"/>
        <w:gridCol w:w="4338"/>
      </w:tblGrid>
      <w:tr>
        <w:tc>
          <w:tcPr>
            <w:tcW w:type="dxa" w:w="58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43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 Кредита, подлежащая погашению (выраженная в процентах)*</w:t>
            </w:r>
          </w:p>
        </w:tc>
      </w:tr>
      <w:tr>
        <w:tc>
          <w:tcPr>
            <w:tcW w:type="dxa" w:w="5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февраля и 15 августа каждого года, начиная с 15 августа 2028 года и заканчивая 15 февраля 2060 года, включительно</w:t>
            </w:r>
          </w:p>
        </w:tc>
        <w:tc>
          <w:tcPr>
            <w:tcW w:type="dxa" w:w="43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1,5625%</w:t>
            </w:r>
          </w:p>
        </w:tc>
      </w:tr>
    </w:tbl>
    <w:p>
      <w:pPr>
        <w:spacing w:after="60" w:before="120"/>
        <w:ind w:firstLine="567"/>
        <w:jc w:val="both"/>
      </w:pPr>
      <w:r>
        <w:rPr>
          <w:rFonts w:ascii="Arial" w:cs="Arial" w:eastAsia="Arial" w:hAnsi="Arial"/>
          <w:sz w:val="24"/>
          <w:szCs w:val="24"/>
        </w:rPr>
        <w:t xml:space="preserve">(*) Если иное не указано Ассоциацией в соответствии с Разделом 3.05 (</w:t>
      </w:r>
      <w:r>
        <w:rPr>
          <w:rFonts w:ascii="Arial" w:cs="Arial" w:eastAsia="Arial" w:hAnsi="Arial"/>
          <w:sz w:val="24"/>
          <w:szCs w:val="24"/>
        </w:rPr>
        <w:t xml:space="preserve">b</w:t>
      </w:r>
      <w:r>
        <w:rPr>
          <w:rFonts w:ascii="Arial" w:cs="Arial" w:eastAsia="Arial" w:hAnsi="Arial"/>
          <w:sz w:val="24"/>
          <w:szCs w:val="24"/>
        </w:rPr>
        <w:t xml:space="preserve">) Общих условий, проценты означают подлежащую погашению часть основной суммы Кредита.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Условия, основанные на эффективности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00"/>
        <w:gridCol w:w="3522"/>
        <w:gridCol w:w="1826"/>
        <w:gridCol w:w="1830"/>
      </w:tblGrid>
      <w:tr>
        <w:tc>
          <w:tcPr>
            <w:tcW w:type="dxa" w:w="30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УОЭ</w:t>
            </w:r>
          </w:p>
        </w:tc>
        <w:tc>
          <w:tcPr>
            <w:tcW w:type="dxa" w:w="35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Цели УОЭ</w:t>
            </w:r>
          </w:p>
        </w:tc>
        <w:tc>
          <w:tcPr>
            <w:tcW w:type="dxa" w:w="1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выделенного Гранта (выраженная в СПЗ)</w:t>
            </w:r>
          </w:p>
        </w:tc>
        <w:tc>
          <w:tcPr>
            <w:tcW w:type="dxa" w:w="18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выделенного Кредита (выраженная в СПЗ)</w:t>
            </w:r>
          </w:p>
        </w:tc>
      </w:tr>
      <w:tr>
        <w:tc>
          <w:tcPr>
            <w:tcW w:type="dxa" w:w="30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УОЭ 1: Траектория изменения тарифа на уровне возмещения затрат установлена и реализована с течением времени</w:t>
            </w:r>
          </w:p>
        </w:tc>
        <w:tc>
          <w:tcPr>
            <w:tcW w:type="dxa" w:w="35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 Новая методология установления тарифов на энергию, соответствующая принципам полного возмещения затрат должным образом санкционирована Получателем</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740000</w:t>
            </w:r>
          </w:p>
        </w:tc>
      </w:tr>
      <w:tr>
        <w:tc>
          <w:tcPr>
            <w:vMerge w:val="continue"/>
            <w:tcBorders>
              <w:top w:val="none" w:color="auto" w:sz="0"/>
              <w:left w:val="single" w:color="CBBF9E" w:sz="4"/>
              <w:bottom w:val="single" w:color="CBBF9E" w:sz="4"/>
              <w:right w:val="single" w:color="CBBF9E" w:sz="4"/>
            </w:tcBorders>
          </w:tcPr>
          <w:p/>
        </w:tc>
        <w:tc>
          <w:tcPr>
            <w:tcW w:type="dxa" w:w="3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Таблица ставок тарифов на электроэнергию обновлена в Среднесрочной тарифной политике</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1480000</w:t>
            </w:r>
          </w:p>
        </w:tc>
      </w:tr>
      <w:tr>
        <w:tc>
          <w:tcPr>
            <w:vMerge w:val="continue"/>
            <w:tcBorders>
              <w:top w:val="none" w:color="auto" w:sz="0"/>
              <w:left w:val="single" w:color="CBBF9E" w:sz="4"/>
              <w:bottom w:val="single" w:color="CBBF9E" w:sz="4"/>
              <w:right w:val="single" w:color="CBBF9E" w:sz="4"/>
            </w:tcBorders>
          </w:tcPr>
          <w:p/>
        </w:tc>
        <w:tc>
          <w:tcPr>
            <w:tcW w:type="dxa" w:w="35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 Тарифы на энергию скорректированы в соответствии с новой тарифной методологией и Среднесрочной тарифной политикой</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2220000</w:t>
            </w:r>
          </w:p>
        </w:tc>
      </w:tr>
      <w:tr>
        <w:tc>
          <w:tcPr>
            <w:vMerge w:val="continue"/>
            <w:tcBorders>
              <w:top w:val="none" w:color="auto" w:sz="0"/>
              <w:left w:val="single" w:color="CBBF9E" w:sz="4"/>
              <w:bottom w:val="single" w:color="CBBF9E" w:sz="4"/>
              <w:right w:val="single" w:color="CBBF9E" w:sz="4"/>
            </w:tcBorders>
          </w:tcPr>
          <w:p/>
        </w:tc>
        <w:tc>
          <w:tcPr>
            <w:tcW w:type="dxa" w:w="35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 Тарифы на энергию скорректированы в соответствии с новой тарифной методологией и Среднесрочной тарифной политикой</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1480000</w:t>
            </w:r>
          </w:p>
        </w:tc>
      </w:tr>
      <w:tr>
        <w:tc>
          <w:tcPr>
            <w:vMerge w:val="continue"/>
            <w:tcBorders>
              <w:top w:val="none" w:color="auto" w:sz="0"/>
              <w:left w:val="single" w:color="CBBF9E" w:sz="4"/>
              <w:bottom w:val="single" w:color="CBBF9E" w:sz="4"/>
              <w:right w:val="single" w:color="CBBF9E" w:sz="4"/>
            </w:tcBorders>
          </w:tcPr>
          <w:p/>
        </w:tc>
        <w:tc>
          <w:tcPr>
            <w:tcW w:type="dxa" w:w="3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Тарифы на энергию скорректированы в соответствии с новой тарифной методологией и Среднесрочной тарифной политикой</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1480000</w:t>
            </w:r>
          </w:p>
        </w:tc>
      </w:tr>
      <w:tr>
        <w:tc>
          <w:tcPr>
            <w:tcW w:type="dxa" w:w="30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УОЭ 2: Улучшение управления сектором и укрепление институционального потенциала, включая создание и внедрение рамочной основы стратегического планирования в энергетическом секторе</w:t>
            </w:r>
          </w:p>
        </w:tc>
        <w:tc>
          <w:tcPr>
            <w:tcW w:type="dxa" w:w="35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 Создано подразделение по реализации реформы, и План расширения выработки электроэнергии с наименьшими затратами, направленный на удовлетворение растущего спроса на электроэнергию, должным образом принят Получателем</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 (i) Принята обновленная редакция Закона о возобновляемых источниках энергии, определяющая функции покупателя возобновляемой энергии/единого покупателя, и (ii) Получателем должным образом принят План расширения передачи, чтобы обеспечить интеграцию в сеть крупномасштабных возобновляемых источников энергии</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 (i) Применена рекомендуемая структура корпоративного управления для государственных предприятий энергетического сектора, и (ii) Получателем должным образом принят План развития распределительной сети для обеспечения лучшего доступа к сети и подключения новых объектов</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Приоритетные проекты определены и подготовлены Получателем в соответствии с Секторальными планами расширения</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w:t>
            </w:r>
          </w:p>
        </w:tc>
        <w:tc>
          <w:tcPr>
            <w:tcW w:type="dxa" w:w="3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6750000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7400000</w:t>
            </w:r>
          </w:p>
        </w:tc>
      </w:tr>
    </w:tbl>
    <w:p>
      <w:pPr>
        <w:spacing w:after="400" w:before="400"/>
        <w:jc w:val="center"/>
      </w:pPr>
      <w:r>
        <w:rPr>
          <w:rFonts w:ascii="Arial" w:cs="Arial" w:eastAsia="Arial" w:hAnsi="Arial"/>
          <w:b/>
          <w:bCs/>
          <w:sz w:val="32"/>
          <w:szCs w:val="32"/>
        </w:rPr>
        <w:t xml:space="preserve">ДОПОЛНЕНИЕ</w:t>
      </w:r>
    </w:p>
    <w:p>
      <w:pPr>
        <w:spacing w:after="60" w:before="200"/>
        <w:ind w:firstLine="567"/>
        <w:jc w:val="both"/>
      </w:pPr>
      <w:r>
        <w:rPr>
          <w:rFonts w:ascii="Arial" w:cs="Arial" w:eastAsia="Arial" w:hAnsi="Arial"/>
          <w:b/>
          <w:bCs/>
          <w:sz w:val="24"/>
          <w:szCs w:val="24"/>
        </w:rPr>
        <w:t xml:space="preserve">Определения</w:t>
      </w:r>
    </w:p>
    <w:p>
      <w:pPr>
        <w:spacing w:after="60"/>
        <w:ind w:firstLine="567"/>
        <w:jc w:val="both"/>
      </w:pPr>
      <w:r>
        <w:rPr>
          <w:rFonts w:ascii="Arial" w:cs="Arial" w:eastAsia="Arial" w:hAnsi="Arial"/>
          <w:sz w:val="24"/>
          <w:szCs w:val="24"/>
        </w:rPr>
        <w:t xml:space="preserve">1. "Руководство по предотвращению коррупции" означает, для целей параграфа 5 Дополнения к Общим условиям, "Руководство Всемирного банка по предотвращению и пресечению коррупции при реализации проектов, финансируемых за счет займов МБРР и кредитов и грантов МАР", датированное 15 октября 2006 года и пересмотренное в январе 2011 года, и действующее в редакции, датированной 1 июля 2016 года.</w:t>
      </w:r>
    </w:p>
    <w:p>
      <w:pPr>
        <w:spacing w:after="60"/>
        <w:ind w:firstLine="567"/>
        <w:jc w:val="both"/>
      </w:pPr>
      <w:r>
        <w:rPr>
          <w:rFonts w:ascii="Arial" w:cs="Arial" w:eastAsia="Arial" w:hAnsi="Arial"/>
          <w:sz w:val="24"/>
          <w:szCs w:val="24"/>
        </w:rPr>
        <w:t xml:space="preserve">2. "Годовой план работы" означает годовой план работы Получателя, утвержденный Ассоциацией в соответствии с положениями Раздела I.D Приложения 2 к настоящему Соглашению, с учетом того, что указанный план работы может время от времени изменяться с предварительного письменного согласия Ассоциации.</w:t>
      </w:r>
    </w:p>
    <w:p>
      <w:pPr>
        <w:spacing w:after="60"/>
        <w:ind w:firstLine="567"/>
        <w:jc w:val="both"/>
      </w:pPr>
      <w:r>
        <w:rPr>
          <w:rFonts w:ascii="Arial" w:cs="Arial" w:eastAsia="Arial" w:hAnsi="Arial"/>
          <w:sz w:val="24"/>
          <w:szCs w:val="24"/>
        </w:rPr>
        <w:t xml:space="preserve">3. "Соглашение о передаче активов" означает любое из соглашений, упоминаемых в Разделе I.B Приложения 2 к настоящему Соглашению.</w:t>
      </w:r>
    </w:p>
    <w:p>
      <w:pPr>
        <w:spacing w:after="60"/>
        <w:ind w:firstLine="567"/>
        <w:jc w:val="both"/>
      </w:pPr>
      <w:r>
        <w:rPr>
          <w:rFonts w:ascii="Arial" w:cs="Arial" w:eastAsia="Arial" w:hAnsi="Arial"/>
          <w:sz w:val="24"/>
          <w:szCs w:val="24"/>
        </w:rPr>
        <w:t xml:space="preserve">4. "Категория" означает категорию, указанную в таблице в Разделе III.A Приложения 2 к настоящему Соглашению.</w:t>
      </w:r>
    </w:p>
    <w:p>
      <w:pPr>
        <w:spacing w:after="60"/>
        <w:ind w:firstLine="567"/>
        <w:jc w:val="both"/>
      </w:pPr>
      <w:r>
        <w:rPr>
          <w:rFonts w:ascii="Arial" w:cs="Arial" w:eastAsia="Arial" w:hAnsi="Arial"/>
          <w:sz w:val="24"/>
          <w:szCs w:val="24"/>
        </w:rPr>
        <w:t xml:space="preserve">5. "Распределительная компания" означает любое из следующих акционерных обществ - АО "Северэлектро", зарегистрированное в соответствии с законодательством Получателя под номером 21538-3300-ОАО, АО "Ошэлектро", зарегистрированное в соответствии с законодательством Получателя под номером 77032-3310-ОАО, АО "Востокэлектро", зарегистрированное в соответствии с законодательством Получателя под номером 105806-3302-ОАО, и АО "Жалалабатэлектро", зарегистрированное в соответствии с законодательством Получателя под номером 106011-3300-ОАО, или любого из их правопреемников, удовлетворяющих требованиям Ассоциации.</w:t>
      </w:r>
    </w:p>
    <w:p>
      <w:pPr>
        <w:spacing w:after="60"/>
        <w:ind w:firstLine="567"/>
        <w:jc w:val="both"/>
      </w:pPr>
      <w:r>
        <w:rPr>
          <w:rFonts w:ascii="Arial" w:cs="Arial" w:eastAsia="Arial" w:hAnsi="Arial"/>
          <w:sz w:val="24"/>
          <w:szCs w:val="24"/>
        </w:rPr>
        <w:t xml:space="preserve">6. "План экологических и социальных обязательств" или "ПЭСО" означает план экологических и социальных обязательств по Проекту, датированный 13 мая 2022 года, в каковой могут периодически вноситься изменения в соответствии с содержащимися в нем положениями, в котором изложены важные меры и действия, которые Получатель должен будет осуществить или обеспечить их осуществление для устранения потенциальных экологических и социальных рисков и воздействий Проекта, включая сроки выполнения действий и мер, институциональные, кадровые, обучающие виды действий, мероприятия по мониторингу и отчетности, а также любые иные экологические и социальные инструменты, которые будут подготовлены на основании этого плана.</w:t>
      </w:r>
    </w:p>
    <w:p>
      <w:pPr>
        <w:spacing w:after="60"/>
        <w:ind w:firstLine="567"/>
        <w:jc w:val="both"/>
      </w:pPr>
      <w:r>
        <w:rPr>
          <w:rFonts w:ascii="Arial" w:cs="Arial" w:eastAsia="Arial" w:hAnsi="Arial"/>
          <w:sz w:val="24"/>
          <w:szCs w:val="24"/>
        </w:rPr>
        <w:t xml:space="preserve">7. "Рамочный документ управления экологической и социальной средой" или "РУЭСС" означает подготовленный для Проекта рамочный документ, упоминаемый в Статье 4.01 (c) настоящего Соглашения, который надо будет принять, вести и реализовывать в ходе реализации Проекта, как указано в ПЭСО и настоящем Соглашении, и в соответствии с Экологическими и социальными стандартами.</w:t>
      </w:r>
    </w:p>
    <w:p>
      <w:pPr>
        <w:spacing w:after="60"/>
        <w:ind w:firstLine="567"/>
        <w:jc w:val="both"/>
      </w:pPr>
      <w:r>
        <w:rPr>
          <w:rFonts w:ascii="Arial" w:cs="Arial" w:eastAsia="Arial" w:hAnsi="Arial"/>
          <w:sz w:val="24"/>
          <w:szCs w:val="24"/>
        </w:rPr>
        <w:t xml:space="preserve">8. "Экологические и социальные стандарты" или "ЭСС" в собирательном значении означает: (i) "Экологический и социальный стандарт 1: Оценка и управление социально-экологическими рисками и воздействиями"; (ii) "Экологический и социальный стандарт 2: Рабочий персонал и условия труда"; (iii) "Экологический и социальный стандарт 3: Рациональное использование ресурсов, предотвращение загрязнения окружающей среды и управление"; (iv) "Экологический и социальный стандарт 4: Охрана здоровья и обеспечение безопасности населения"; (v) "Экологический и социальный стандарт 5: Приобретение земли, ограничение права землепользования и принудительное переселение"; (vi) "Экологический и социальный стандарт 6: Сохранение биологического разнообразия и устойчивое управление живыми природными ресурсами"; (vii) "Экологический и социальный стандарт 7: Коренные народы/исторически незащищенные традиционные местные общины стран Африки к югу от Сахары"; (viii) "Экологический и социальный стандарт 8: Культурное наследие"; (ix) "Экологический и социальный стандарт 9: Финансовые посредники"; (х) "Экологический и социальный стандарт 10: Взаимодействие с заинтересованными сторонами и раскрытие информации"; действующие с 1 октября 2018 года, опубликованные Ассоциацией.</w:t>
      </w:r>
    </w:p>
    <w:p>
      <w:pPr>
        <w:spacing w:after="60"/>
        <w:ind w:firstLine="567"/>
        <w:jc w:val="both"/>
      </w:pPr>
      <w:r>
        <w:rPr>
          <w:rFonts w:ascii="Arial" w:cs="Arial" w:eastAsia="Arial" w:hAnsi="Arial"/>
          <w:sz w:val="24"/>
          <w:szCs w:val="24"/>
        </w:rPr>
        <w:t xml:space="preserve">9. "Исключенные виды деятельности" означает в совокупности:</w:t>
      </w:r>
    </w:p>
    <w:p>
      <w:pPr>
        <w:spacing w:after="60"/>
        <w:ind w:firstLine="567"/>
        <w:jc w:val="both"/>
      </w:pPr>
      <w:r>
        <w:rPr>
          <w:rFonts w:ascii="Arial" w:cs="Arial" w:eastAsia="Arial" w:hAnsi="Arial"/>
          <w:sz w:val="24"/>
          <w:szCs w:val="24"/>
        </w:rPr>
        <w:t xml:space="preserve">(a) любые из перечисленных видов деятельности или виды деятельности, в ходе которых производятся и/или используются материалы, перечисленные в списке исключений Группы Всемирного банка/Международной финансовой корпорации (см. https://www.ifc.org/wps/wcm/connect/topics_ext_content/ifc_external_corporate_site/sustainabilit</w:t>
      </w:r>
      <w:r>
        <w:rPr>
          <w:rFonts w:ascii="Arial" w:cs="Arial" w:eastAsia="Arial" w:hAnsi="Arial"/>
          <w:sz w:val="24"/>
          <w:szCs w:val="24"/>
        </w:rPr>
        <w:t xml:space="preserve">y</w:t>
      </w:r>
      <w:r>
        <w:rPr>
          <w:rFonts w:ascii="Arial" w:cs="Arial" w:eastAsia="Arial" w:hAnsi="Arial"/>
          <w:sz w:val="24"/>
          <w:szCs w:val="24"/>
        </w:rPr>
        <w:t xml:space="preserve">-at-ifc/compan</w:t>
      </w:r>
      <w:r>
        <w:rPr>
          <w:rFonts w:ascii="Arial" w:cs="Arial" w:eastAsia="Arial" w:hAnsi="Arial"/>
          <w:sz w:val="24"/>
          <w:szCs w:val="24"/>
        </w:rPr>
        <w:t xml:space="preserve">y</w:t>
      </w:r>
      <w:r>
        <w:rPr>
          <w:rFonts w:ascii="Arial" w:cs="Arial" w:eastAsia="Arial" w:hAnsi="Arial"/>
          <w:sz w:val="24"/>
          <w:szCs w:val="24"/>
        </w:rPr>
        <w:t xml:space="preserve">-resources/ifcexclusionlis</w:t>
      </w:r>
      <w:r>
        <w:rPr>
          <w:rFonts w:ascii="Arial" w:cs="Arial" w:eastAsia="Arial" w:hAnsi="Arial"/>
          <w:sz w:val="24"/>
          <w:szCs w:val="24"/>
        </w:rPr>
        <w:t xml:space="preserve">t</w:t>
      </w:r>
      <w:r>
        <w:rPr>
          <w:rFonts w:ascii="Arial" w:cs="Arial" w:eastAsia="Arial" w:hAnsi="Arial"/>
          <w:sz w:val="24"/>
          <w:szCs w:val="24"/>
        </w:rPr>
        <w:t xml:space="preserve">), а также такие другие виды деятельности и/или материалы, перечисленные в ОР, которые классифицируются и упоминаются как часть отрицательного списка в указанном руководстве;</w:t>
      </w:r>
    </w:p>
    <w:p>
      <w:pPr>
        <w:spacing w:after="60"/>
        <w:ind w:firstLine="567"/>
        <w:jc w:val="both"/>
      </w:pPr>
      <w:r>
        <w:rPr>
          <w:rFonts w:ascii="Arial" w:cs="Arial" w:eastAsia="Arial" w:hAnsi="Arial"/>
          <w:sz w:val="24"/>
          <w:szCs w:val="24"/>
        </w:rPr>
        <w:t xml:space="preserve">(b) инвестиции, которые классифицируются как инвестиции с высоким риском в отношении потенциальных экологических и социальных последствий в соответствии с положениями ОР и РУЭСС;</w:t>
      </w:r>
    </w:p>
    <w:p>
      <w:pPr>
        <w:spacing w:after="60"/>
        <w:ind w:firstLine="567"/>
        <w:jc w:val="both"/>
      </w:pPr>
      <w:r>
        <w:rPr>
          <w:rFonts w:ascii="Arial" w:cs="Arial" w:eastAsia="Arial" w:hAnsi="Arial"/>
          <w:sz w:val="24"/>
          <w:szCs w:val="24"/>
        </w:rPr>
        <w:t xml:space="preserve">(c) инвестиции, которые: предполагают крупномасштабное физическое и экономическое перемещение, как описано в разделе "Отвод земли", "Ограничения на землепользование" или "Вынужденное переселение" (согласно определению СЭС 5); оказывают неблагоприятное воздействие на уязвимые места обитания и виды, как описано в документе "Сохранение биоразнообразия и устойчивое управление живыми природными ресурсами" (согласно определению ЭСС 6); оказывают неблагоприятное воздействие на культурное наследие (согласно определению ЭСС 8); или связаны с детским или принудительным трудом;</w:t>
      </w:r>
    </w:p>
    <w:p>
      <w:pPr>
        <w:spacing w:after="60"/>
        <w:ind w:firstLine="567"/>
        <w:jc w:val="both"/>
      </w:pPr>
      <w:r>
        <w:rPr>
          <w:rFonts w:ascii="Arial" w:cs="Arial" w:eastAsia="Arial" w:hAnsi="Arial"/>
          <w:sz w:val="24"/>
          <w:szCs w:val="24"/>
        </w:rPr>
        <w:t xml:space="preserve">(d) инвестиции, которые предполагают потенциальное использование или сброс в любые водные пути, как это определено и применимо в Оперативной политике Всемирного банка 7.50 (или детальное проектирование и инженерные исследования таких инвестиций), поскольку такие водные пути должны быть более подробно описаны в ОР; и</w:t>
      </w:r>
    </w:p>
    <w:p>
      <w:pPr>
        <w:spacing w:after="60"/>
        <w:ind w:firstLine="567"/>
        <w:jc w:val="both"/>
      </w:pPr>
      <w:r>
        <w:rPr>
          <w:rFonts w:ascii="Arial" w:cs="Arial" w:eastAsia="Arial" w:hAnsi="Arial"/>
          <w:sz w:val="24"/>
          <w:szCs w:val="24"/>
        </w:rPr>
        <w:t xml:space="preserve">(e) инвестиции, которые включают любые другие исключения, согласованные между Ассоциацией и Получателем, как указано в ОР.</w:t>
      </w:r>
    </w:p>
    <w:p>
      <w:pPr>
        <w:spacing w:after="60"/>
        <w:ind w:firstLine="567"/>
        <w:jc w:val="both"/>
      </w:pPr>
      <w:r>
        <w:rPr>
          <w:rFonts w:ascii="Arial" w:cs="Arial" w:eastAsia="Arial" w:hAnsi="Arial"/>
          <w:sz w:val="24"/>
          <w:szCs w:val="24"/>
        </w:rPr>
        <w:t xml:space="preserve">10. "Общие условия" означает "Общие условия Международной ассоциации развития для финансирования по линии МАР и финансирования инвестиционных проектов" от 14 декабря 2018 года (с изменениями от 1 августа 2020 года, 1 апреля 2021 года и 1 января 2022 года).</w:t>
      </w:r>
    </w:p>
    <w:p>
      <w:pPr>
        <w:spacing w:after="60"/>
        <w:ind w:firstLine="567"/>
        <w:jc w:val="both"/>
      </w:pPr>
      <w:r>
        <w:rPr>
          <w:rFonts w:ascii="Arial" w:cs="Arial" w:eastAsia="Arial" w:hAnsi="Arial"/>
          <w:sz w:val="24"/>
          <w:szCs w:val="24"/>
        </w:rPr>
        <w:t xml:space="preserve">11. "Соглашение о гранте" означает соглашение о предоставлении гранта SECO, упомянутое в преамбуле настоящего Соглашения, в которое могут периодически вноситься изменения. Соглашение о гранте включает упоминаемые в нем Стандартные условия, а также все приложения, дополнения и соглашения, дополняющие Соглашение о гранте.</w:t>
      </w:r>
    </w:p>
    <w:p>
      <w:pPr>
        <w:spacing w:after="60"/>
        <w:ind w:firstLine="567"/>
        <w:jc w:val="both"/>
      </w:pPr>
      <w:r>
        <w:rPr>
          <w:rFonts w:ascii="Arial" w:cs="Arial" w:eastAsia="Arial" w:hAnsi="Arial"/>
          <w:sz w:val="24"/>
          <w:szCs w:val="24"/>
        </w:rPr>
        <w:t xml:space="preserve">12. "ПУТР" означает процедуры управления трудовыми ресурсами, упоминаемые в Разделе 4.01 (с) настоящего Соглашения и дополнительно указанные в ПЭСО.</w:t>
      </w:r>
    </w:p>
    <w:p>
      <w:pPr>
        <w:spacing w:after="60"/>
        <w:ind w:firstLine="567"/>
        <w:jc w:val="both"/>
      </w:pPr>
      <w:r>
        <w:rPr>
          <w:rFonts w:ascii="Arial" w:cs="Arial" w:eastAsia="Arial" w:hAnsi="Arial"/>
          <w:sz w:val="24"/>
          <w:szCs w:val="24"/>
        </w:rPr>
        <w:t xml:space="preserve">13. "МЭ" означает Министерство энергетики Получателя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14. "МФ" означает Министерство финансов Получателя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15. "МТСОМ" означает Министерство труда, социального обеспечения и миграции Получателя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16. "Операционные расходы" означает прочие расходы, понесенные МЭ, в связи с его обязанностями по осуществлению мероприятий в рамках Проекта, с реализацией, управлением, мониторингом и оценкой Проекта, включая заработную плату контрактного персонала (но за исключением услуг консультантов и заработной платы должностных лиц государственной службы Получателя) и сопутствующие Социальные отчисления, аренду офисного помещения, канцелярские принадлежности и расходные материалы, коммунальные услуги, мелкие ремонтные работы, расходы на связь, техническое обслуживание транспортных средств и транспортные расходы, поддержку информационных систем, расходы на услуги перевода, банковские сборы, транспортные расходы, расходы на проживание и выплату суточных сотрудникам ОУП, расходы на верификацию УОЭ, а также прочие обоснованные расходы, непосредственно связанные с реализацией проектных мероприятий - все эти расходы основываются на приемлемом для Ассоциации годовом бюджете.</w:t>
      </w:r>
    </w:p>
    <w:p>
      <w:pPr>
        <w:spacing w:after="60"/>
        <w:ind w:firstLine="567"/>
        <w:jc w:val="both"/>
      </w:pPr>
      <w:r>
        <w:rPr>
          <w:rFonts w:ascii="Arial" w:cs="Arial" w:eastAsia="Arial" w:hAnsi="Arial"/>
          <w:sz w:val="24"/>
          <w:szCs w:val="24"/>
        </w:rPr>
        <w:t xml:space="preserve">17. "УОЭ" означает Условия, основанные на эффективности, упоминаемые в Приложении 4 к настоящему Соглашению.</w:t>
      </w:r>
    </w:p>
    <w:p>
      <w:pPr>
        <w:spacing w:after="60"/>
        <w:ind w:firstLine="567"/>
        <w:jc w:val="both"/>
      </w:pPr>
      <w:r>
        <w:rPr>
          <w:rFonts w:ascii="Arial" w:cs="Arial" w:eastAsia="Arial" w:hAnsi="Arial"/>
          <w:sz w:val="24"/>
          <w:szCs w:val="24"/>
        </w:rPr>
        <w:t xml:space="preserve">18. "Цель УОЭ" означает цель по каждому УОЭ, которую должен достичь Получатель вплоть до наступления Даты закрытия, как указано в таблице в Приложении 4 к настоящему Соглашению.</w:t>
      </w:r>
    </w:p>
    <w:p>
      <w:pPr>
        <w:spacing w:after="60"/>
        <w:ind w:firstLine="567"/>
        <w:jc w:val="both"/>
      </w:pPr>
      <w:r>
        <w:rPr>
          <w:rFonts w:ascii="Arial" w:cs="Arial" w:eastAsia="Arial" w:hAnsi="Arial"/>
          <w:sz w:val="24"/>
          <w:szCs w:val="24"/>
        </w:rPr>
        <w:t xml:space="preserve">19. "ОУП" означает Отдел управления Проектом, упоминаемый в Разделе I.A.2 Приложения 2 к настоящему Соглашению.</w:t>
      </w:r>
    </w:p>
    <w:p>
      <w:pPr>
        <w:spacing w:after="60"/>
        <w:ind w:firstLine="567"/>
        <w:jc w:val="both"/>
      </w:pPr>
      <w:r>
        <w:rPr>
          <w:rFonts w:ascii="Arial" w:cs="Arial" w:eastAsia="Arial" w:hAnsi="Arial"/>
          <w:sz w:val="24"/>
          <w:szCs w:val="24"/>
        </w:rPr>
        <w:t xml:space="preserve">20. "Руководство по закупкам" означает, для целей пункта 87 Дополнения к Общим условиям, "Руководство по закупкам Всемирного банка для заемщиков ФИП", принятое в ноябре 2020 года.</w:t>
      </w:r>
    </w:p>
    <w:p>
      <w:pPr>
        <w:spacing w:after="60"/>
        <w:ind w:firstLine="567"/>
        <w:jc w:val="both"/>
      </w:pPr>
      <w:r>
        <w:rPr>
          <w:rFonts w:ascii="Arial" w:cs="Arial" w:eastAsia="Arial" w:hAnsi="Arial"/>
          <w:sz w:val="24"/>
          <w:szCs w:val="24"/>
        </w:rPr>
        <w:t xml:space="preserve">21. "Операционное руководство Проекта" или "ОР" означает удовлетворяющее требованиям Ассоциации руководство, подготовленное Получателем, действующим через МЭ, и принятое согласно Разделу I.C Приложения 2 к настоящему Соглашению, в котором описываются правила, методы, руководящие принципы и процедуры реализации Проекта, включая, среди прочего: (а) подробное описание Проекта и институциональных механизмов его реализации; (</w:t>
      </w:r>
      <w:r>
        <w:rPr>
          <w:rFonts w:ascii="Arial" w:cs="Arial" w:eastAsia="Arial" w:hAnsi="Arial"/>
          <w:sz w:val="24"/>
          <w:szCs w:val="24"/>
        </w:rPr>
        <w:t xml:space="preserve">b</w:t>
      </w:r>
      <w:r>
        <w:rPr>
          <w:rFonts w:ascii="Arial" w:cs="Arial" w:eastAsia="Arial" w:hAnsi="Arial"/>
          <w:sz w:val="24"/>
          <w:szCs w:val="24"/>
        </w:rPr>
        <w:t xml:space="preserve">) процедуры мониторинга, оценки, отчетности и управления в рамках Проекта; (с) процедуры выплат, финансового управления, аудита и мер безопасности в рамках Проекта; (d) правила закупок, процедуры и стандартную тендерную документацию в рамках Проекта; (е) содержание плана по предотвращению коррупции в рамках Проекта; (f) требования к управлению документооборотом и информацией; и (g) критерии контроля, в приемлемой для Ассоциации форме и с приемлемым содержанием, в действующей редакции с учетом изменений, которые могут время от времени вноситься в ОР по согласованию с Ассоциацией.</w:t>
      </w:r>
    </w:p>
    <w:p>
      <w:pPr>
        <w:spacing w:after="60"/>
        <w:ind w:firstLine="567"/>
        <w:jc w:val="both"/>
      </w:pPr>
      <w:r>
        <w:rPr>
          <w:rFonts w:ascii="Arial" w:cs="Arial" w:eastAsia="Arial" w:hAnsi="Arial"/>
          <w:sz w:val="24"/>
          <w:szCs w:val="24"/>
        </w:rPr>
        <w:t xml:space="preserve">22. "РПП" означает рамочную политику переселения, упоминаемую в Разделе 4.01 (c) настоящего Соглашения и дополнительно указанную в ПЭСО.</w:t>
      </w:r>
    </w:p>
    <w:p>
      <w:pPr>
        <w:spacing w:after="60"/>
        <w:ind w:firstLine="567"/>
        <w:jc w:val="both"/>
      </w:pPr>
      <w:r>
        <w:rPr>
          <w:rFonts w:ascii="Arial" w:cs="Arial" w:eastAsia="Arial" w:hAnsi="Arial"/>
          <w:sz w:val="24"/>
          <w:szCs w:val="24"/>
        </w:rPr>
        <w:t xml:space="preserve">23. "Дата подписания" означает более позднюю из двух дат, в которые Получатель и Ассоциация подписали настоящее Соглашение, и такое определение относится ко всем отсылкам к "дате Соглашения о финансировании" в Общих условиях.</w:t>
      </w:r>
    </w:p>
    <w:p>
      <w:pPr>
        <w:spacing w:after="60"/>
        <w:ind w:firstLine="567"/>
        <w:jc w:val="both"/>
      </w:pPr>
      <w:r>
        <w:rPr>
          <w:rFonts w:ascii="Arial" w:cs="Arial" w:eastAsia="Arial" w:hAnsi="Arial"/>
          <w:sz w:val="24"/>
          <w:szCs w:val="24"/>
        </w:rPr>
        <w:t xml:space="preserve">24. "Грант SECO" означает грант, упомянутый в преамбуле настоящего Соглашения, который предоставляется согласно Соглашению о гранте.</w:t>
      </w:r>
    </w:p>
    <w:p>
      <w:pPr>
        <w:spacing w:after="60"/>
        <w:ind w:firstLine="567"/>
        <w:jc w:val="both"/>
      </w:pPr>
      <w:r>
        <w:rPr>
          <w:rFonts w:ascii="Arial" w:cs="Arial" w:eastAsia="Arial" w:hAnsi="Arial"/>
          <w:sz w:val="24"/>
          <w:szCs w:val="24"/>
        </w:rPr>
        <w:t xml:space="preserve">25. "Социальные отчисления" означает любые выплаты, страховые взносы или взносы на медицинское страхование, пособия по безработице, страхование по инвалидности, компенсации работникам, пенсионные пособия (пенсии или пособия по социальному обеспечению), а также страхование жизни, которые представляют собой плату за использование будущих пособий соответствующим работникам.</w:t>
      </w:r>
    </w:p>
    <w:p>
      <w:pPr>
        <w:spacing w:after="60"/>
        <w:ind w:firstLine="567"/>
        <w:jc w:val="both"/>
      </w:pPr>
      <w:r>
        <w:rPr>
          <w:rFonts w:ascii="Arial" w:cs="Arial" w:eastAsia="Arial" w:hAnsi="Arial"/>
          <w:sz w:val="24"/>
          <w:szCs w:val="24"/>
        </w:rPr>
        <w:t xml:space="preserve">26. "Наблюдательный комитет" означает комитет, упоминаемый в Разделе </w:t>
      </w:r>
      <w:r>
        <w:rPr>
          <w:rFonts w:ascii="Arial" w:cs="Arial" w:eastAsia="Arial" w:hAnsi="Arial"/>
          <w:sz w:val="24"/>
          <w:szCs w:val="24"/>
        </w:rPr>
        <w:t xml:space="preserve">I</w:t>
      </w:r>
      <w:r>
        <w:rPr>
          <w:rFonts w:ascii="Arial" w:cs="Arial" w:eastAsia="Arial" w:hAnsi="Arial"/>
          <w:sz w:val="24"/>
          <w:szCs w:val="24"/>
        </w:rPr>
        <w:t xml:space="preserve">.А.1 Приложения 2 к настоящему Соглашению.</w:t>
      </w:r>
    </w:p>
    <w:p>
      <w:pPr>
        <w:spacing w:after="60"/>
        <w:ind w:firstLine="567"/>
        <w:jc w:val="both"/>
      </w:pPr>
      <w:r>
        <w:rPr>
          <w:rFonts w:ascii="Arial" w:cs="Arial" w:eastAsia="Arial" w:hAnsi="Arial"/>
          <w:sz w:val="24"/>
          <w:szCs w:val="24"/>
        </w:rPr>
        <w:t xml:space="preserve">27. "Подпроект" означает любые инвестиции и/или направления деятельности, связанные с восстановлением и модернизацией подстанций и распределительных линий в рамках Части 1 Проекта, отобранные в соответствии с критериями и процедурами, изложенными в ОР.</w:t>
      </w:r>
    </w:p>
    <w:p>
      <w:pPr>
        <w:spacing w:after="60"/>
        <w:ind w:firstLine="567"/>
        <w:jc w:val="both"/>
      </w:pPr>
      <w:r>
        <w:rPr>
          <w:rFonts w:ascii="Arial" w:cs="Arial" w:eastAsia="Arial" w:hAnsi="Arial"/>
          <w:sz w:val="24"/>
          <w:szCs w:val="24"/>
        </w:rPr>
        <w:t xml:space="preserve">28. "Обучение" означает расходы (не являющиеся расходами на консультационные услуги) МЭ в связи со стажировками, учебными курсами, семинарами, практикумами и прочими учебными мероприятиями, не включенными в контракты с поставщиками товаров или услуг, включая стоимость учебных материалов, расходы на аренду помещений и оборудования, транспортные расходы, суточные для учащихся и инструкторов по обучению, оплату услуг инструкторов по обучению (в зависимости от требований), каждая из которых основывается на приемлемом для Ассоциации годовом бюджете.</w:t>
      </w:r>
    </w:p>
    <w:p>
      <w:pPr>
        <w:spacing w:after="60"/>
        <w:ind w:firstLine="567"/>
        <w:jc w:val="both"/>
      </w:pPr>
      <w:r>
        <w:rPr>
          <w:rFonts w:ascii="Arial" w:cs="Arial" w:eastAsia="Arial" w:hAnsi="Arial"/>
          <w:sz w:val="24"/>
          <w:szCs w:val="24"/>
        </w:rPr>
        <w:t xml:space="preserve">29. "УБК" означает национальную программу социальной помощи Получателя (Уй-булого комок).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kptsihgu7ni0tzarbkob">
      <w:r>
        <w:rPr>
          <w:rFonts w:ascii="Arial" w:cs="Arial" w:eastAsia="Arial" w:hAnsi="Arial"/>
          <w:color w:val="132D3F"/>
          <w:sz w:val="16"/>
          <w:szCs w:val="16"/>
          <w:u w:val="single"/>
        </w:rPr>
        <w:t xml:space="preserve">dalil.kg/document/219238</w:t>
      </w:r>
    </w:hyperlink>
  </w:p>
  <w:p>
    <w:pPr>
      <w:spacing w:after="0" w:before="40"/>
      <w:jc w:val="center"/>
    </w:pPr>
    <w:hyperlink w:history="1" r:id="rIdoiwj3-2bdy5azlu435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bnzqjeghnmh0hamjvupj" Type="http://schemas.openxmlformats.org/officeDocument/2006/relationships/hyperlink" Target="https://dalil.kg/document/205286" TargetMode="External"/><Relationship Id="rIdwssrzayk9furlfxk0xlle" Type="http://schemas.openxmlformats.org/officeDocument/2006/relationships/hyperlink" Target="https://dalil.kg/document/112301#st_13" TargetMode="External"/><Relationship Id="rIdqmshdq8wledcg91eojeer" Type="http://schemas.openxmlformats.org/officeDocument/2006/relationships/hyperlink" Target="https://dalil.kg/document/112301#st_17" TargetMode="External"/><Relationship Id="rIds50blnowpms9abjz_2eq9" Type="http://schemas.openxmlformats.org/officeDocument/2006/relationships/hyperlink" Target="https://dalil.kg/document/219238#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kptsihgu7ni0tzarbkob" Type="http://schemas.openxmlformats.org/officeDocument/2006/relationships/hyperlink" Target="https://dalil.kg/document/219238" TargetMode="External"/><Relationship Id="rIdoiwj3-2bdy5azlu435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2026-09-29T01:32:02.388Z</dcterms:created>
  <dcterms:modified xsi:type="dcterms:W3CDTF">2026-09-29T01:32:02.388Z</dcterms:modified>
</cp:coreProperties>
</file>

<file path=docProps/custom.xml><?xml version="1.0" encoding="utf-8"?>
<Properties xmlns="http://schemas.openxmlformats.org/officeDocument/2006/custom-properties" xmlns:vt="http://schemas.openxmlformats.org/officeDocument/2006/docPropsVTypes"/>
</file>