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 </w:t>
      </w:r>
    </w:p>
    <w:p>
      <w:pPr>
        <w:spacing w:after="200" w:before="200"/>
        <w:jc w:val="both"/>
      </w:pPr>
      <w:r>
        <w:rPr>
          <w:rFonts w:ascii="Arial" w:cs="Arial" w:eastAsia="Arial" w:hAnsi="Arial"/>
          <w:sz w:val="24"/>
          <w:szCs w:val="24"/>
        </w:rPr>
        <w:t xml:space="preserve">от 1 февраля 2023 года № 49</w:t>
      </w:r>
    </w:p>
    <w:p>
      <w:pPr>
        <w:spacing w:after="60"/>
        <w:ind w:firstLine="567"/>
        <w:jc w:val="both"/>
      </w:pPr>
      <w:r>
        <w:rPr>
          <w:rFonts w:ascii="Arial" w:cs="Arial" w:eastAsia="Arial" w:hAnsi="Arial"/>
          <w:sz w:val="24"/>
          <w:szCs w:val="24"/>
        </w:rPr>
        <w:t xml:space="preserve">В соответствии со </w:t>
      </w:r>
      <w:hyperlink w:history="1" r:id="rIdtx8xup8jimamatbdq4_8b">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1. Одобрить прилагаемое </w:t>
      </w:r>
      <w:hyperlink w:history="1" r:id="rIdmips2bbljnczwjoc0b_n4">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стратегическом планировании в Кыргызской Республике", инициированный депутатами Жогорку Кенеша Кыргызской Республики Айжигитовым С.А., Кадырбековым Н.К., Мамасадыковым З.Д., Раимбачаевой В.К., Ашимовой Д.А., Шакиевым Н.Т., Маматалиевым М.А., Толоновым Д.Э., Темирбаевой М.О., Малиевым А.К., Нурбаевым Ж.П., Ажибаевым Ч.И., Айдаровым А.А., Алимжановой Н.Я., Абдибаевой А.К., Маткеримовым А.Т., Исатбек кызы Аидой, Жакышовым Р.Ш. и Жамгырчиевым Э.Э.</w:t>
      </w:r>
    </w:p>
    <w:p>
      <w:pPr>
        <w:spacing w:after="6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w:t>
      </w:r>
      <w:r>
        <w:rPr>
          <w:rFonts w:ascii="Arial" w:cs="Arial" w:eastAsia="Arial" w:hAnsi="Arial"/>
          <w:sz w:val="24"/>
          <w:szCs w:val="24"/>
        </w:rPr>
        <w:t xml:space="preserve">о </w:t>
      </w:r>
      <w:r>
        <w:rPr>
          <w:rFonts w:ascii="Arial" w:cs="Arial" w:eastAsia="Arial" w:hAnsi="Arial"/>
          <w:sz w:val="24"/>
          <w:szCs w:val="24"/>
        </w:rPr>
        <w:t xml:space="preserve">распоряжением Председателя</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стратегическом планировании в Кыргызской Республике"</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4lloleivgqsjxsmpnqmrj">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стратегическом планировании в Кыргызской Республике" (далее - проект Закона), инициированный депутатами Жогорку Кенеша Кыргызской Республики Айжигитовым С.А., Кадырбековым Н.К., Мамасадыковым З.Д., Раимбачаевой В.К., Ашимовой Д.А., Шакиевым Н.Т., Маматалиевым М.А., Толоновым Д.Э., Темирбаевой М.О., Малиевым А.К., Нурбаевым Ж.П., Ажибаевым Ч.И., Айдаровым А.А., Алимжановой Н.Я., Абдибаевой А.К., Маткеримовым А.Т., Исатбек кызы Аидой, Жакышовым Р.Ш. и Жамгырчиевым Э.Э., приходит к следующему заключению.</w:t>
      </w:r>
    </w:p>
    <w:p>
      <w:pPr>
        <w:spacing w:after="60"/>
        <w:ind w:firstLine="567"/>
        <w:jc w:val="both"/>
      </w:pPr>
      <w:r>
        <w:rPr>
          <w:rFonts w:ascii="Arial" w:cs="Arial" w:eastAsia="Arial" w:hAnsi="Arial"/>
          <w:sz w:val="24"/>
          <w:szCs w:val="24"/>
        </w:rPr>
        <w:t xml:space="preserve">Частью 1 статьи 1 проекта Закона предлагается установить, что предлагаемый проект Закона устанавливает правовые основы стратегического планирования в Кыргызской Республике, координации государственного и муниципального стратегического управления и бюджетной политики, полномочия республиканских органов государственной власти, органов государственной власти в регионах (область, район), органов местного самоуправления и порядок их взаимодействия с общественными, научными и иными организациями в сфере стратегического планирования.</w:t>
      </w:r>
    </w:p>
    <w:p>
      <w:pPr>
        <w:spacing w:after="60"/>
        <w:ind w:firstLine="567"/>
        <w:jc w:val="both"/>
      </w:pPr>
      <w:r>
        <w:rPr>
          <w:rFonts w:ascii="Arial" w:cs="Arial" w:eastAsia="Arial" w:hAnsi="Arial"/>
          <w:sz w:val="24"/>
          <w:szCs w:val="24"/>
        </w:rPr>
        <w:t xml:space="preserve">Следует отметить, что в законодательстве Кыргызской Республики отсутствует понятие "бюджетной политики", "республиканских органов государственной власти", "органов государственной власти в регионах (область, район)".</w:t>
      </w:r>
    </w:p>
    <w:p>
      <w:pPr>
        <w:spacing w:after="60"/>
        <w:ind w:firstLine="567"/>
        <w:jc w:val="both"/>
      </w:pPr>
      <w:r>
        <w:rPr>
          <w:rFonts w:ascii="Arial" w:cs="Arial" w:eastAsia="Arial" w:hAnsi="Arial"/>
          <w:sz w:val="24"/>
          <w:szCs w:val="24"/>
        </w:rPr>
        <w:t xml:space="preserve">Статьей 3 проекта Закона предлагается предусмотреть понятийный аппарат.</w:t>
      </w:r>
    </w:p>
    <w:p>
      <w:pPr>
        <w:spacing w:after="60"/>
        <w:ind w:firstLine="567"/>
        <w:jc w:val="both"/>
      </w:pPr>
      <w:r>
        <w:rPr>
          <w:rFonts w:ascii="Arial" w:cs="Arial" w:eastAsia="Arial" w:hAnsi="Arial"/>
          <w:sz w:val="24"/>
          <w:szCs w:val="24"/>
        </w:rPr>
        <w:t xml:space="preserve">Так, предлагаются такие термины как "муниципальное управление", "план деятельности центрального органа исполнительной власти", "муниципальное образование", "муниципальная программа", "государственная власть".</w:t>
      </w:r>
    </w:p>
    <w:p>
      <w:pPr>
        <w:spacing w:after="60"/>
        <w:ind w:firstLine="567"/>
        <w:jc w:val="both"/>
      </w:pPr>
      <w:r>
        <w:rPr>
          <w:rFonts w:ascii="Arial" w:cs="Arial" w:eastAsia="Arial" w:hAnsi="Arial"/>
          <w:sz w:val="24"/>
          <w:szCs w:val="24"/>
        </w:rPr>
        <w:t xml:space="preserve">Вместе с тем необходимо отметить, что деятельность органов местного самоуправления регулируется </w:t>
      </w:r>
      <w:hyperlink w:history="1" r:id="rIdublgth8rgyw8sh7hjfgr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w:t>
      </w:r>
    </w:p>
    <w:p>
      <w:pPr>
        <w:spacing w:after="60"/>
        <w:ind w:firstLine="567"/>
        <w:jc w:val="both"/>
      </w:pPr>
      <w:r>
        <w:rPr>
          <w:rFonts w:ascii="Arial" w:cs="Arial" w:eastAsia="Arial" w:hAnsi="Arial"/>
          <w:sz w:val="24"/>
          <w:szCs w:val="24"/>
        </w:rPr>
        <w:t xml:space="preserve">Однако, в действующей редакции Закона данные термины не применяются.</w:t>
      </w:r>
    </w:p>
    <w:p>
      <w:pPr>
        <w:spacing w:after="60"/>
        <w:ind w:firstLine="567"/>
        <w:jc w:val="both"/>
      </w:pPr>
      <w:r>
        <w:rPr>
          <w:rFonts w:ascii="Arial" w:cs="Arial" w:eastAsia="Arial" w:hAnsi="Arial"/>
          <w:sz w:val="24"/>
          <w:szCs w:val="24"/>
        </w:rPr>
        <w:t xml:space="preserve">Согласно статье 17 указанного Закона,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 Местное самоуправление осуществляется местными сообществами через представительные и исполнительные органы, а также путем непосредственного участия граждан.</w:t>
      </w:r>
    </w:p>
    <w:p>
      <w:pPr>
        <w:spacing w:after="60"/>
        <w:ind w:firstLine="567"/>
        <w:jc w:val="both"/>
      </w:pPr>
      <w:r>
        <w:rPr>
          <w:rFonts w:ascii="Arial" w:cs="Arial" w:eastAsia="Arial" w:hAnsi="Arial"/>
          <w:sz w:val="24"/>
          <w:szCs w:val="24"/>
        </w:rPr>
        <w:t xml:space="preserve">Согласно статье 2 указанного Закона местная государственная администрация осуществляет исполнительную власть в районе. Местная государственная администрация - подчиненный Президенту Кыргызской Республики и Кабинету Министров Кыргызской Республики государственный орган исполнительной власти, обеспечивающий на соответствующей территории согласованную деятельность территориальных подразделений государственных органов исполнительной власти, их взаимодействие с органами местного самоуправления и осуществляющий государственный контроль за исполнением делегированных полномочий.</w:t>
      </w:r>
    </w:p>
    <w:p>
      <w:pPr>
        <w:spacing w:after="60"/>
        <w:ind w:firstLine="567"/>
        <w:jc w:val="both"/>
      </w:pPr>
      <w:r>
        <w:rPr>
          <w:rFonts w:ascii="Arial" w:cs="Arial" w:eastAsia="Arial" w:hAnsi="Arial"/>
          <w:sz w:val="24"/>
          <w:szCs w:val="24"/>
        </w:rPr>
        <w:t xml:space="preserve">Отмечаем, что базовое понятие "прогноз социально-экономического развития Кыргызской Республики" в части 23 статьи 3 проекта Закона не соответствует понятию, указанному в пункте 38-1 части 1 </w:t>
      </w:r>
      <w:hyperlink w:history="1" r:id="rIdmh0k9tedb38gaawkyhhz0">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Бюджетного кодекса Кыргызской Республики.</w:t>
      </w:r>
    </w:p>
    <w:p>
      <w:pPr>
        <w:spacing w:after="60"/>
        <w:ind w:firstLine="567"/>
        <w:jc w:val="both"/>
      </w:pPr>
      <w:r>
        <w:rPr>
          <w:rFonts w:ascii="Arial" w:cs="Arial" w:eastAsia="Arial" w:hAnsi="Arial"/>
          <w:sz w:val="24"/>
          <w:szCs w:val="24"/>
        </w:rPr>
        <w:t xml:space="preserve">Статьей 7 проекта Закона предлагается установить принципы, на которых основывается стратегическое планирование.</w:t>
      </w:r>
    </w:p>
    <w:p>
      <w:pPr>
        <w:spacing w:after="60"/>
        <w:ind w:firstLine="567"/>
        <w:jc w:val="both"/>
      </w:pPr>
      <w:r>
        <w:rPr>
          <w:rFonts w:ascii="Arial" w:cs="Arial" w:eastAsia="Arial" w:hAnsi="Arial"/>
          <w:sz w:val="24"/>
          <w:szCs w:val="24"/>
        </w:rPr>
        <w:t xml:space="preserve">Предлагаемые принципы должны раскрываться по тексту проекта Закона в виде норм-механизмов, обеспечивающих их реализацию. В связи с чем, предлагаем в справке-обосновании отразить информацию по каждому принципу и механизмам их реализации.</w:t>
      </w:r>
    </w:p>
    <w:p>
      <w:pPr>
        <w:spacing w:after="60"/>
        <w:ind w:firstLine="567"/>
        <w:jc w:val="both"/>
      </w:pPr>
      <w:r>
        <w:rPr>
          <w:rFonts w:ascii="Arial" w:cs="Arial" w:eastAsia="Arial" w:hAnsi="Arial"/>
          <w:sz w:val="24"/>
          <w:szCs w:val="24"/>
        </w:rPr>
        <w:t xml:space="preserve">Одновременно отмечаем, что такие статьи проекта Закона, как статья 7 (принципы), статья 8 (задачи), статья 39 (Цели и задачи мониторинга реализации документов стратегического планирования), статья 40 (Задачи контроля реализации документов стратегического планирования носят декларативный характер и не регулируют конкретных правоотношений).</w:t>
      </w:r>
    </w:p>
    <w:p>
      <w:pPr>
        <w:spacing w:after="60"/>
        <w:ind w:firstLine="567"/>
        <w:jc w:val="both"/>
      </w:pPr>
      <w:r>
        <w:rPr>
          <w:rFonts w:ascii="Arial" w:cs="Arial" w:eastAsia="Arial" w:hAnsi="Arial"/>
          <w:sz w:val="24"/>
          <w:szCs w:val="24"/>
        </w:rPr>
        <w:t xml:space="preserve">Исполнение указанных статей потребует внесения изменений в соответствующие отраслевые законы и без закрепления механизмов указанные статьи не будут полноценно реализованы.</w:t>
      </w:r>
    </w:p>
    <w:p>
      <w:pPr>
        <w:spacing w:after="60"/>
        <w:ind w:firstLine="567"/>
        <w:jc w:val="both"/>
      </w:pPr>
      <w:r>
        <w:rPr>
          <w:rFonts w:ascii="Arial" w:cs="Arial" w:eastAsia="Arial" w:hAnsi="Arial"/>
          <w:sz w:val="24"/>
          <w:szCs w:val="24"/>
        </w:rPr>
        <w:t xml:space="preserve">Частью 1 статьи 9 проекта Закона предлагается утвердить перечень участников стратегического планирования на республиканском уровне. Так, предусматривается в качестве участников определить также республиканские органы исполнительной власти.</w:t>
      </w:r>
    </w:p>
    <w:p>
      <w:pPr>
        <w:spacing w:after="60"/>
        <w:ind w:firstLine="567"/>
        <w:jc w:val="both"/>
      </w:pPr>
      <w:r>
        <w:rPr>
          <w:rFonts w:ascii="Arial" w:cs="Arial" w:eastAsia="Arial" w:hAnsi="Arial"/>
          <w:sz w:val="24"/>
          <w:szCs w:val="24"/>
        </w:rPr>
        <w:t xml:space="preserve">Согласно </w:t>
      </w:r>
      <w:hyperlink w:history="1" r:id="rId37dvccgiiyrwkgvkejmgt">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является высшим коллегиальным органом исполнительной власти, подчиненным и подотчетным Президенту.</w:t>
      </w:r>
    </w:p>
    <w:p>
      <w:pPr>
        <w:spacing w:after="60"/>
        <w:ind w:firstLine="567"/>
        <w:jc w:val="both"/>
      </w:pPr>
      <w:r>
        <w:rPr>
          <w:rFonts w:ascii="Arial" w:cs="Arial" w:eastAsia="Arial" w:hAnsi="Arial"/>
          <w:sz w:val="24"/>
          <w:szCs w:val="24"/>
        </w:rPr>
        <w:t xml:space="preserve">В связи с этим термины в предлагаемом проекте Закона не совпадают с терминологией вышеуказанного Закона.</w:t>
      </w:r>
    </w:p>
    <w:p>
      <w:pPr>
        <w:spacing w:after="60"/>
        <w:ind w:firstLine="567"/>
        <w:jc w:val="both"/>
      </w:pPr>
      <w:r>
        <w:rPr>
          <w:rFonts w:ascii="Arial" w:cs="Arial" w:eastAsia="Arial" w:hAnsi="Arial"/>
          <w:sz w:val="24"/>
          <w:szCs w:val="24"/>
        </w:rPr>
        <w:t xml:space="preserve">Аналогичные замечания по всему тексту проекта Закона в части терминов "макрорегионы", "республиканский орган исполнительной власти", "высшим исполнительным органом государственной власти в регионах", "муниципальное образование".</w:t>
      </w:r>
    </w:p>
    <w:p>
      <w:pPr>
        <w:spacing w:after="60"/>
        <w:ind w:firstLine="567"/>
        <w:jc w:val="both"/>
      </w:pPr>
      <w:r>
        <w:rPr>
          <w:rFonts w:ascii="Arial" w:cs="Arial" w:eastAsia="Arial" w:hAnsi="Arial"/>
          <w:sz w:val="24"/>
          <w:szCs w:val="24"/>
        </w:rPr>
        <w:t xml:space="preserve">В пункте 5 части 1 статьи 9 проекта Закона Счетная палата Кыргызской Республики определена участником стратегического планирования на республиканском уровне, также в части 5 статьи 10 проекта Закона предусмотрено, что Счетная палата Кыргызской Республики осуществляет полномочия в сфере стратегического планирования в соответствии с </w:t>
      </w:r>
      <w:hyperlink w:history="1" r:id="rIdmmeuqqmnsbc7gomiejs8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Счетной палате Кыргызской Республики" и осуществляет иные полномочия в сфере стратегического планирования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этой связи следует отметить, что согласно </w:t>
      </w:r>
      <w:hyperlink w:history="1" r:id="rIdya9pw8rijd_-rqvmqtvqs">
        <w:r>
          <w:rPr>
            <w:rFonts w:ascii="Arial" w:cs="Arial" w:eastAsia="Arial" w:hAnsi="Arial"/>
            <w:color w:val="1D4ED8"/>
            <w:sz w:val="24"/>
            <w:szCs w:val="24"/>
            <w:u w:val="single"/>
          </w:rPr>
          <w:t xml:space="preserve">статье 108</w:t>
        </w:r>
      </w:hyperlink>
      <w:r>
        <w:rPr>
          <w:rFonts w:ascii="Arial" w:cs="Arial" w:eastAsia="Arial" w:hAnsi="Arial"/>
          <w:sz w:val="24"/>
          <w:szCs w:val="24"/>
        </w:rPr>
        <w:t xml:space="preserve"> Конституции Кыргызской Республики Счетная палата осуществляет аудит исполнения республиканского и местных бюджетов, внебюджетных средств, использования государственной и муниципальной собственности. При этом согласно </w:t>
      </w:r>
      <w:hyperlink w:history="1" r:id="rIdfsbpppjic9d7zr2mrqvqs">
        <w:r>
          <w:rPr>
            <w:rFonts w:ascii="Arial" w:cs="Arial" w:eastAsia="Arial" w:hAnsi="Arial"/>
            <w:color w:val="1D4ED8"/>
            <w:sz w:val="24"/>
            <w:szCs w:val="24"/>
            <w:u w:val="single"/>
          </w:rPr>
          <w:t xml:space="preserve">статье 110</w:t>
        </w:r>
      </w:hyperlink>
      <w:r>
        <w:rPr>
          <w:rFonts w:ascii="Arial" w:cs="Arial" w:eastAsia="Arial" w:hAnsi="Arial"/>
          <w:sz w:val="24"/>
          <w:szCs w:val="24"/>
        </w:rPr>
        <w:t xml:space="preserve"> Конституции Кыргызской Республики организация и порядок деятельности Счетной палаты определяется конституционным Законом.</w:t>
      </w:r>
    </w:p>
    <w:p>
      <w:pPr>
        <w:spacing w:after="60"/>
        <w:ind w:firstLine="567"/>
        <w:jc w:val="both"/>
      </w:pPr>
      <w:r>
        <w:rPr>
          <w:rFonts w:ascii="Arial" w:cs="Arial" w:eastAsia="Arial" w:hAnsi="Arial"/>
          <w:sz w:val="24"/>
          <w:szCs w:val="24"/>
        </w:rPr>
        <w:t xml:space="preserve">Частью 3 статьи 9 проекта Закона предлагается установить, что участниками стратегического планирования на уровне муниципального образования являются органы местного самоуправления, а также муниципальные организации в случаях, предусмотренных муниципальными нормативными правовыми актами.</w:t>
      </w:r>
    </w:p>
    <w:p>
      <w:pPr>
        <w:spacing w:after="60"/>
        <w:ind w:firstLine="567"/>
        <w:jc w:val="both"/>
      </w:pPr>
      <w:r>
        <w:rPr>
          <w:rFonts w:ascii="Arial" w:cs="Arial" w:eastAsia="Arial" w:hAnsi="Arial"/>
          <w:sz w:val="24"/>
          <w:szCs w:val="24"/>
        </w:rPr>
        <w:t xml:space="preserve">Согласно </w:t>
      </w:r>
      <w:hyperlink w:history="1" r:id="rIdeqitkwleisqrpvrcsacxz">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нормативный правовой акт - официальный документ установленной формы, принятый (изданный) в пределах компетенции уполномоченного государственного органа (должностного лица), органа местного самоуправления или путем референдума, направленный на установление, изменение или отмену норм права (правовых норм).</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4</w:t>
      </w:r>
      <w:r>
        <w:rPr>
          <w:rFonts w:ascii="Arial" w:cs="Arial" w:eastAsia="Arial" w:hAnsi="Arial"/>
          <w:sz w:val="24"/>
          <w:szCs w:val="24"/>
        </w:rPr>
        <w:t xml:space="preserve"> вышеуказанного Закона постановления представительных органов местного самоуправления - нормативные правовые акты, принимаемые на основе и во исполнение нормативных правовых актов, имеющих более высокую силу, в пределах компетенции представительных органов местного самоуправления, с целью решения вопросов местного значения, и имеющие обязательную юридическую силу на соответствующей территории.</w:t>
      </w:r>
    </w:p>
    <w:p>
      <w:pPr>
        <w:spacing w:after="60"/>
        <w:ind w:firstLine="567"/>
        <w:jc w:val="both"/>
      </w:pPr>
      <w:r>
        <w:rPr>
          <w:rFonts w:ascii="Arial" w:cs="Arial" w:eastAsia="Arial" w:hAnsi="Arial"/>
          <w:sz w:val="24"/>
          <w:szCs w:val="24"/>
        </w:rPr>
        <w:t xml:space="preserve">Поскольку, в законодательстве Кыргызской Республики отсутствует понятие "муниципальный нормативный правой акт" необходимо использовать терминологию указанного Закона.</w:t>
      </w:r>
    </w:p>
    <w:p>
      <w:pPr>
        <w:spacing w:after="60"/>
        <w:ind w:firstLine="567"/>
        <w:jc w:val="both"/>
      </w:pPr>
      <w:r>
        <w:rPr>
          <w:rFonts w:ascii="Arial" w:cs="Arial" w:eastAsia="Arial" w:hAnsi="Arial"/>
          <w:sz w:val="24"/>
          <w:szCs w:val="24"/>
        </w:rPr>
        <w:t xml:space="preserve">Кроме того часть 8 статьи 7, пункт 2 части 2 статьи 9, часть 8 статьи 10, часть 2 статьи 32, подпункт 7 части 4 статьи 33, пункт 7 статьи 33, подпункт 5 части 3 статьи 34, части 4, 5 и 6 статьи 34, часть 3 статьи 35, части 1, 2 и 4 статьи 36, подпункт 2 части 4 статьи 39, части 5 и 6 статьи 43 предусматривают слова "высший исполнительный орган государственной власти".</w:t>
      </w:r>
    </w:p>
    <w:p>
      <w:pPr>
        <w:spacing w:after="60"/>
        <w:ind w:firstLine="567"/>
        <w:jc w:val="both"/>
      </w:pPr>
      <w:r>
        <w:rPr>
          <w:rFonts w:ascii="Arial" w:cs="Arial" w:eastAsia="Arial" w:hAnsi="Arial"/>
          <w:sz w:val="24"/>
          <w:szCs w:val="24"/>
        </w:rPr>
        <w:t xml:space="preserve">В то же время, в </w:t>
      </w:r>
      <w:hyperlink w:history="1" r:id="rIdnvnpfgrfwffnfieyjhnx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используются термины "органы государственной власти", "государственные органы исполнительной власти" и "руководители иных органов исполнительной власти". Однако, слова "высший исполнительный орган государственной власти" и "высшее должностное лицо" не предусмотрены.</w:t>
      </w:r>
    </w:p>
    <w:p>
      <w:pPr>
        <w:spacing w:after="60"/>
        <w:ind w:firstLine="567"/>
        <w:jc w:val="both"/>
      </w:pPr>
      <w:r>
        <w:rPr>
          <w:rFonts w:ascii="Arial" w:cs="Arial" w:eastAsia="Arial" w:hAnsi="Arial"/>
          <w:sz w:val="24"/>
          <w:szCs w:val="24"/>
        </w:rPr>
        <w:t xml:space="preserve">Частью 2 статьи 10 проекта Закона предлагается установить, что Жогорку Кенеш Кыргызской Республики осуществляет законодательное регулирование в сфере стратегического планирования, полномочия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Регламенте Жогорку Кенеша Кыргызской Республики" и проводит обсуждение стратегии социально-экономического развития Кыргызской Республики и основных направлений деятельности Кабинета Министров Кыргызской Республики.</w:t>
      </w:r>
    </w:p>
    <w:p>
      <w:pPr>
        <w:spacing w:after="60"/>
        <w:ind w:firstLine="567"/>
        <w:jc w:val="both"/>
      </w:pPr>
      <w:r>
        <w:rPr>
          <w:rFonts w:ascii="Arial" w:cs="Arial" w:eastAsia="Arial" w:hAnsi="Arial"/>
          <w:sz w:val="24"/>
          <w:szCs w:val="24"/>
        </w:rPr>
        <w:t xml:space="preserve">Согласно </w:t>
      </w:r>
      <w:hyperlink w:history="1" r:id="rIdvdjmbf4xo-45dcyhzqy7p">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Жогорку Кенеш - парламент Кыргызской Республики - является высшим представительным органом, осуществляющим законодательную власть и контрольные функции в пределах своих полномочий.</w:t>
      </w:r>
    </w:p>
    <w:p>
      <w:pPr>
        <w:spacing w:after="60"/>
        <w:ind w:firstLine="567"/>
        <w:jc w:val="both"/>
      </w:pPr>
      <w:r>
        <w:rPr>
          <w:rFonts w:ascii="Arial" w:cs="Arial" w:eastAsia="Arial" w:hAnsi="Arial"/>
          <w:sz w:val="24"/>
          <w:szCs w:val="24"/>
        </w:rPr>
        <w:t xml:space="preserve">В пункте 1 части 3 статьи 11, частях 1 и 2 статьи 15 и части 3 статьи 16 проекта Закона указано, что Президент Кыргызской Республики осуществляет ежегодное послание "с трибуны Жогорку Кенеша Кыргызской Республики" и "через трибуну Жогорку Кенеша Кыргызской Республики".</w:t>
      </w:r>
    </w:p>
    <w:p>
      <w:pPr>
        <w:spacing w:after="60"/>
        <w:ind w:firstLine="567"/>
        <w:jc w:val="both"/>
      </w:pPr>
      <w:r>
        <w:rPr>
          <w:rFonts w:ascii="Arial" w:cs="Arial" w:eastAsia="Arial" w:hAnsi="Arial"/>
          <w:sz w:val="24"/>
          <w:szCs w:val="24"/>
        </w:rPr>
        <w:t xml:space="preserve">Однако, пункт 3 части 3 </w:t>
      </w:r>
      <w:hyperlink w:history="1" r:id="rIdx2lysbljlrdy5z8v_kb_a">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 устанавливает, что Президент обращается к народу, Жогорку Кенешу, Народному Курултаю с ежегодными посланиями о положении дел в стране и основных направлениях внутренней и внешней политики государства.</w:t>
      </w:r>
    </w:p>
    <w:p>
      <w:pPr>
        <w:spacing w:after="60"/>
        <w:ind w:firstLine="567"/>
        <w:jc w:val="both"/>
      </w:pPr>
      <w:r>
        <w:rPr>
          <w:rFonts w:ascii="Arial" w:cs="Arial" w:eastAsia="Arial" w:hAnsi="Arial"/>
          <w:sz w:val="24"/>
          <w:szCs w:val="24"/>
        </w:rPr>
        <w:t xml:space="preserve">Слово "трибуна" в </w:t>
      </w:r>
      <w:hyperlink w:history="1" r:id="rIdt8q3cccsb9cevq1kenrq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предусмотрено.</w:t>
      </w:r>
    </w:p>
    <w:p>
      <w:pPr>
        <w:spacing w:after="60"/>
        <w:ind w:firstLine="567"/>
        <w:jc w:val="both"/>
      </w:pPr>
      <w:r>
        <w:rPr>
          <w:rFonts w:ascii="Arial" w:cs="Arial" w:eastAsia="Arial" w:hAnsi="Arial"/>
          <w:sz w:val="24"/>
          <w:szCs w:val="24"/>
        </w:rPr>
        <w:t xml:space="preserve">Частью 4 статьи 13 проекта Закона предлагается установить, что 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официальном сайте органа, ответственного за разработку документа стратегического планирования, а также на общедоступном информационном ресурсе стратегического планирования в информационно-телекоммуникационной сети "Интернет".</w:t>
      </w:r>
    </w:p>
    <w:p>
      <w:pPr>
        <w:spacing w:after="60"/>
        <w:ind w:firstLine="567"/>
        <w:jc w:val="both"/>
      </w:pPr>
      <w:r>
        <w:rPr>
          <w:rFonts w:ascii="Arial" w:cs="Arial" w:eastAsia="Arial" w:hAnsi="Arial"/>
          <w:sz w:val="24"/>
          <w:szCs w:val="24"/>
        </w:rPr>
        <w:t xml:space="preserve">Вместе с тем если акты стратегического планирования будут утверждены соответствующими нормативными правовыми актами, то соответственно на них будут распространяться требования </w:t>
      </w:r>
      <w:hyperlink w:history="1" r:id="rIdk2qbsrcpejfimg6rgsk0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части их разработки, процедуры общественного обсуждения, согласования и утверждения.</w:t>
      </w:r>
    </w:p>
    <w:p>
      <w:pPr>
        <w:spacing w:after="60"/>
        <w:ind w:firstLine="567"/>
        <w:jc w:val="both"/>
      </w:pPr>
      <w:r>
        <w:rPr>
          <w:rFonts w:ascii="Arial" w:cs="Arial" w:eastAsia="Arial" w:hAnsi="Arial"/>
          <w:sz w:val="24"/>
          <w:szCs w:val="24"/>
        </w:rPr>
        <w:t xml:space="preserve">Частью 3 статьи 14 проекта Закона предлагается установить, что порядок функционирования республиканской информационной системы стратегического планирования, требования к технологическим и лингвистическим средствам, в том числе требования к обеспечению автоматизации процессов сбора, обработки информации, и порядок информационного взаимодействия республиканской информационной системы стратегического планирования с иными информационными системами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Следует отметить, что согласно </w:t>
      </w:r>
      <w:hyperlink w:history="1" r:id="rIdlrphmmhgpo7fwcewlfgqa">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В этой связи предлагаем дополнить справку-обоснование к проекту Закона сведениями о необходимости разработки или внесения соответствующих поправок в нормативные правовые акты Кабинета Министров Кыргызской Республики.</w:t>
      </w:r>
    </w:p>
    <w:p>
      <w:pPr>
        <w:spacing w:after="60"/>
        <w:ind w:firstLine="567"/>
        <w:jc w:val="both"/>
      </w:pPr>
      <w:r>
        <w:rPr>
          <w:rFonts w:ascii="Arial" w:cs="Arial" w:eastAsia="Arial" w:hAnsi="Arial"/>
          <w:sz w:val="24"/>
          <w:szCs w:val="24"/>
        </w:rPr>
        <w:t xml:space="preserve">Аналогичные замечания по статьям 12, 16, 20, 21, 22, 24, 26, 27, 28, 31, 32, 41 проекта Закона.</w:t>
      </w:r>
    </w:p>
    <w:p>
      <w:pPr>
        <w:spacing w:after="60"/>
        <w:ind w:firstLine="567"/>
        <w:jc w:val="both"/>
      </w:pPr>
      <w:r>
        <w:rPr>
          <w:rFonts w:ascii="Arial" w:cs="Arial" w:eastAsia="Arial" w:hAnsi="Arial"/>
          <w:sz w:val="24"/>
          <w:szCs w:val="24"/>
        </w:rPr>
        <w:t xml:space="preserve">Частью 3 статьи 17 проекта Закона предлагается установить, что независимая экспертиза документов в сфере обеспечения национальной безопасности Кыргызской Республики осуществляется в порядке, установленном Президентом Кыргызской Республики, с учетом ограничений, предусмотренных законодательством Кыргызской Республики о государственной, коммерческой, служебной и иной охраняемой законом тайне.</w:t>
      </w:r>
    </w:p>
    <w:p>
      <w:pPr>
        <w:spacing w:after="60"/>
        <w:ind w:firstLine="567"/>
        <w:jc w:val="both"/>
      </w:pPr>
      <w:r>
        <w:rPr>
          <w:rFonts w:ascii="Arial" w:cs="Arial" w:eastAsia="Arial" w:hAnsi="Arial"/>
          <w:sz w:val="24"/>
          <w:szCs w:val="24"/>
        </w:rPr>
        <w:t xml:space="preserve">Здесь необходимо уточнить цели и критерии проведения такой экспертизы и субъектов, уполномоченных проводить такую экспертизу.</w:t>
      </w:r>
    </w:p>
    <w:p>
      <w:pPr>
        <w:spacing w:after="60"/>
        <w:ind w:firstLine="567"/>
        <w:jc w:val="both"/>
      </w:pPr>
      <w:r>
        <w:rPr>
          <w:rFonts w:ascii="Arial" w:cs="Arial" w:eastAsia="Arial" w:hAnsi="Arial"/>
          <w:sz w:val="24"/>
          <w:szCs w:val="24"/>
        </w:rPr>
        <w:t xml:space="preserve">В части 1 статьи 23 проекта Закона предлагается, что "стратегический прогноз Кыргызской Республики разрабатывается по поручению Президента Кыргызской Республики на десять и более лет Кабинетом Министров Кыргызской Республики".</w:t>
      </w:r>
    </w:p>
    <w:p>
      <w:pPr>
        <w:spacing w:after="60"/>
        <w:ind w:firstLine="567"/>
        <w:jc w:val="both"/>
      </w:pPr>
      <w:r>
        <w:rPr>
          <w:rFonts w:ascii="Arial" w:cs="Arial" w:eastAsia="Arial" w:hAnsi="Arial"/>
          <w:sz w:val="24"/>
          <w:szCs w:val="24"/>
        </w:rPr>
        <w:t xml:space="preserve">Однако, в пункте 40-1 </w:t>
      </w:r>
      <w:hyperlink w:history="1" r:id="rIdbj7e5sgge0fyv6fogyx6e">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Бюджетного кодекса Кыргызской Республики указано, что "система государственного прогнозирования в Кыргызской Республике - совокупность взаимосвязанных элементов, состоящая из принципов, документов, процессов и участников государственного прогнозирования, обеспечивающая развитие страны на среднесрочный (от 3 лет до 5 лет), долгосрочный (на 10 лет и более) периоды".</w:t>
      </w:r>
    </w:p>
    <w:p>
      <w:pPr>
        <w:spacing w:after="60"/>
        <w:ind w:firstLine="567"/>
        <w:jc w:val="both"/>
      </w:pPr>
      <w:r>
        <w:rPr>
          <w:rFonts w:ascii="Arial" w:cs="Arial" w:eastAsia="Arial" w:hAnsi="Arial"/>
          <w:sz w:val="24"/>
          <w:szCs w:val="24"/>
        </w:rPr>
        <w:t xml:space="preserve">В связи с этим статья 24 проекта Закона предусматривает разработку прогноза социально-экономического развития Кыргызской Республики на долгосрочный период.</w:t>
      </w:r>
    </w:p>
    <w:p>
      <w:pPr>
        <w:spacing w:after="60"/>
        <w:ind w:firstLine="567"/>
        <w:jc w:val="both"/>
      </w:pPr>
      <w:r>
        <w:rPr>
          <w:rFonts w:ascii="Arial" w:cs="Arial" w:eastAsia="Arial" w:hAnsi="Arial"/>
          <w:sz w:val="24"/>
          <w:szCs w:val="24"/>
        </w:rPr>
        <w:t xml:space="preserve">Однако, отмечаем, что в соответствии со </w:t>
      </w:r>
      <w:hyperlink w:history="1" r:id="rIdojcadivsggqc5mwgmnysw">
        <w:r>
          <w:rPr>
            <w:rFonts w:ascii="Arial" w:cs="Arial" w:eastAsia="Arial" w:hAnsi="Arial"/>
            <w:color w:val="1D4ED8"/>
            <w:sz w:val="24"/>
            <w:szCs w:val="24"/>
            <w:u w:val="single"/>
          </w:rPr>
          <w:t xml:space="preserve">статьей 81-1</w:t>
        </w:r>
      </w:hyperlink>
      <w:r>
        <w:rPr>
          <w:rFonts w:ascii="Arial" w:cs="Arial" w:eastAsia="Arial" w:hAnsi="Arial"/>
          <w:sz w:val="24"/>
          <w:szCs w:val="24"/>
        </w:rPr>
        <w:t xml:space="preserve"> Бюджетного кодекса Кыргызской Республики разработка прогноза социально-экономического развития Кыргызской Республики предусмотрена в ином порядке.</w:t>
      </w:r>
    </w:p>
    <w:p>
      <w:pPr>
        <w:spacing w:after="60"/>
        <w:ind w:firstLine="567"/>
        <w:jc w:val="both"/>
      </w:pPr>
      <w:r>
        <w:rPr>
          <w:rFonts w:ascii="Arial" w:cs="Arial" w:eastAsia="Arial" w:hAnsi="Arial"/>
          <w:sz w:val="24"/>
          <w:szCs w:val="24"/>
        </w:rPr>
        <w:t xml:space="preserve">В целом отмечаем, что понятия, представленные в тексте проекта Закона, противоречат понятиям, предусмотренным Бюджетным </w:t>
      </w:r>
      <w:hyperlink w:history="1" r:id="rIdkgrhxjxjiqipuzkbtrsr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Частью 6 статьи 28 проекта Закона предлагается установить, что государственные программы Кыргызской Республики утверждаются Кабинетом Министров Кыргызской Республики в соответствии с Бюджетным </w:t>
      </w:r>
      <w:hyperlink w:history="1" r:id="rIdccwiasliwgbhw8mquu2y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Однако, Бюджетный </w:t>
      </w:r>
      <w:hyperlink w:history="1" r:id="rIdtyqtryx8trct5c3yhfyq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не содержит нормы, регулирующие утверждение государственной программы.</w:t>
      </w:r>
    </w:p>
    <w:p>
      <w:pPr>
        <w:spacing w:after="60"/>
        <w:ind w:firstLine="567"/>
        <w:jc w:val="both"/>
      </w:pPr>
      <w:r>
        <w:rPr>
          <w:rFonts w:ascii="Arial" w:cs="Arial" w:eastAsia="Arial" w:hAnsi="Arial"/>
          <w:sz w:val="24"/>
          <w:szCs w:val="24"/>
        </w:rPr>
        <w:t xml:space="preserve">Также, частью 8 указанной статьи проекта Закона предлагается установить, что данные нормы не распространяются на государственную программу вооружения.</w:t>
      </w:r>
    </w:p>
    <w:p>
      <w:pPr>
        <w:spacing w:after="60"/>
        <w:ind w:firstLine="567"/>
        <w:jc w:val="both"/>
      </w:pPr>
      <w:r>
        <w:rPr>
          <w:rFonts w:ascii="Arial" w:cs="Arial" w:eastAsia="Arial" w:hAnsi="Arial"/>
          <w:sz w:val="24"/>
          <w:szCs w:val="24"/>
        </w:rPr>
        <w:t xml:space="preserve">Однако, в законодательстве Кыргызской Республики отсутствуют положения о государственных программах вооружения, в связи с этим предлагаем уточнить о какой программе идет речь.</w:t>
      </w:r>
    </w:p>
    <w:p>
      <w:pPr>
        <w:spacing w:after="60"/>
        <w:ind w:firstLine="567"/>
        <w:jc w:val="both"/>
      </w:pPr>
      <w:r>
        <w:rPr>
          <w:rFonts w:ascii="Arial" w:cs="Arial" w:eastAsia="Arial" w:hAnsi="Arial"/>
          <w:sz w:val="24"/>
          <w:szCs w:val="24"/>
        </w:rPr>
        <w:t xml:space="preserve">Аналогичные замечания по статьям 29, 30, 36, 37, 38 проекта Закона.</w:t>
      </w:r>
    </w:p>
    <w:p>
      <w:pPr>
        <w:spacing w:after="60"/>
        <w:ind w:firstLine="567"/>
        <w:jc w:val="both"/>
      </w:pPr>
      <w:r>
        <w:rPr>
          <w:rFonts w:ascii="Arial" w:cs="Arial" w:eastAsia="Arial" w:hAnsi="Arial"/>
          <w:sz w:val="24"/>
          <w:szCs w:val="24"/>
        </w:rPr>
        <w:t xml:space="preserve">Статьей 44 проекта Закона предлагается установить, что лица, виновные в нарушении законодательства Кыргызской Республики и иных нормативных правовых актов в сфере стратегического планирования, несут дисциплинарную, гражданско-правовую и административную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Так, понятие "законодательство" является обобщенным понятием и носит расплывчатый характер, предоставляющий возможность широкой трактовки. В соответствии со </w:t>
      </w:r>
      <w:hyperlink w:history="1" r:id="rId0vxmmpu6jz4gaqtzjqh5h">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 а под нормативным правовым актом - официальный документ установленной формы, принятый в пределах компетенции уполномоченного государственного органа, органа местного самоуправления или путем референдума, направленный на установление, изменение или отмену норм права.</w:t>
      </w:r>
    </w:p>
    <w:p>
      <w:pPr>
        <w:spacing w:after="60"/>
        <w:ind w:firstLine="567"/>
        <w:jc w:val="both"/>
      </w:pPr>
      <w:r>
        <w:rPr>
          <w:rFonts w:ascii="Arial" w:cs="Arial" w:eastAsia="Arial" w:hAnsi="Arial"/>
          <w:sz w:val="24"/>
          <w:szCs w:val="24"/>
        </w:rPr>
        <w:t xml:space="preserve">Следует отметить, что </w:t>
      </w:r>
      <w:hyperlink w:history="1" r:id="rIdoy10ncyl0b5hgdbstgkv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об административной ответственности утратил силу с 1 января 2019 года.</w:t>
      </w:r>
    </w:p>
    <w:p>
      <w:pPr>
        <w:spacing w:after="60"/>
        <w:ind w:firstLine="567"/>
        <w:jc w:val="both"/>
      </w:pPr>
      <w:r>
        <w:rPr>
          <w:rFonts w:ascii="Arial" w:cs="Arial" w:eastAsia="Arial" w:hAnsi="Arial"/>
          <w:sz w:val="24"/>
          <w:szCs w:val="24"/>
        </w:rPr>
        <w:t xml:space="preserve">Кроме того, прилагаемая к проекту Закона справка-обоснование не соответствует требованиям </w:t>
      </w:r>
      <w:hyperlink w:history="1" r:id="rIdy2cavjefn_fd09dru2rtp">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поскольку не уточнен вопрос общественного обсуждения.</w:t>
      </w:r>
    </w:p>
    <w:p>
      <w:pPr>
        <w:spacing w:after="60"/>
        <w:ind w:firstLine="567"/>
        <w:jc w:val="both"/>
      </w:pPr>
      <w:r>
        <w:rPr>
          <w:rFonts w:ascii="Arial" w:cs="Arial" w:eastAsia="Arial" w:hAnsi="Arial"/>
          <w:sz w:val="24"/>
          <w:szCs w:val="24"/>
        </w:rPr>
        <w:t xml:space="preserve">Так, согласно </w:t>
      </w:r>
      <w:hyperlink w:history="1" r:id="rIdyetw5aoq-mouljmdehxlg">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подлежат общественному обсуждению посредством размещения на официальном сайте нормотворческого органа. Итоговая информация отражается в справке-обосновании к проекту нормативного правового акта.</w:t>
      </w:r>
    </w:p>
    <w:p>
      <w:pPr>
        <w:spacing w:after="60"/>
        <w:ind w:firstLine="567"/>
        <w:jc w:val="both"/>
      </w:pPr>
      <w:r>
        <w:rPr>
          <w:rFonts w:ascii="Arial" w:cs="Arial" w:eastAsia="Arial" w:hAnsi="Arial"/>
          <w:sz w:val="24"/>
          <w:szCs w:val="24"/>
        </w:rPr>
        <w:t xml:space="preserve">Вместе с тем, обращаем внимание, что предлагаемая редакция проекта Закона дублирует нормы Федерального закона Российской Федерации "О стратегическом планировании в Российской Федерации" от 28 июня 2014 года № 172-ФЗ.</w:t>
      </w:r>
    </w:p>
    <w:p>
      <w:pPr>
        <w:spacing w:after="60"/>
        <w:ind w:firstLine="567"/>
        <w:jc w:val="both"/>
      </w:pPr>
      <w:r>
        <w:rPr>
          <w:rFonts w:ascii="Arial" w:cs="Arial" w:eastAsia="Arial" w:hAnsi="Arial"/>
          <w:sz w:val="24"/>
          <w:szCs w:val="24"/>
        </w:rPr>
        <w:t xml:space="preserve">Согласно </w:t>
      </w:r>
      <w:hyperlink w:history="1" r:id="rId6xiwalc1mnyhimvkgzgne">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закон - нормативный правовой акт, принимаемый Жогорку Кенешем в установленном порядке и регулирующий наиболее важные общественные отношения в соответствующей сфере.</w:t>
      </w:r>
    </w:p>
    <w:p>
      <w:pPr>
        <w:spacing w:after="60"/>
        <w:ind w:firstLine="567"/>
        <w:jc w:val="both"/>
      </w:pPr>
      <w:r>
        <w:rPr>
          <w:rFonts w:ascii="Arial" w:cs="Arial" w:eastAsia="Arial" w:hAnsi="Arial"/>
          <w:sz w:val="24"/>
          <w:szCs w:val="24"/>
        </w:rPr>
        <w:t xml:space="preserve">Вместе с тем, согласно </w:t>
      </w:r>
      <w:hyperlink w:history="1" r:id="rId7yxrqnjaeiynhqncl0gje">
        <w:r>
          <w:rPr>
            <w:rFonts w:ascii="Arial" w:cs="Arial" w:eastAsia="Arial" w:hAnsi="Arial"/>
            <w:color w:val="1D4ED8"/>
            <w:sz w:val="24"/>
            <w:szCs w:val="24"/>
            <w:u w:val="single"/>
          </w:rPr>
          <w:t xml:space="preserve">статье 66</w:t>
        </w:r>
      </w:hyperlink>
      <w:r>
        <w:rPr>
          <w:rFonts w:ascii="Arial" w:cs="Arial" w:eastAsia="Arial" w:hAnsi="Arial"/>
          <w:sz w:val="24"/>
          <w:szCs w:val="24"/>
        </w:rPr>
        <w:t xml:space="preserve"> Конституции Кыргызской Республики Президент является главой государства, высшим должностным лицом и возглавляет исполнительную власть Кыргызской Республики.</w:t>
      </w:r>
    </w:p>
    <w:p>
      <w:pPr>
        <w:spacing w:after="60"/>
        <w:ind w:firstLine="567"/>
        <w:jc w:val="both"/>
      </w:pPr>
      <w:r>
        <w:rPr>
          <w:rFonts w:ascii="Arial" w:cs="Arial" w:eastAsia="Arial" w:hAnsi="Arial"/>
          <w:sz w:val="24"/>
          <w:szCs w:val="24"/>
        </w:rPr>
        <w:t xml:space="preserve">Президент определяет основные направления внутренней и внешней политики государства. Обеспечивает единство государственной власти, координацию и взаимодействие государственных органов.</w:t>
      </w:r>
    </w:p>
    <w:p>
      <w:pPr>
        <w:spacing w:after="60"/>
        <w:ind w:firstLine="567"/>
        <w:jc w:val="both"/>
      </w:pPr>
      <w:r>
        <w:rPr>
          <w:rFonts w:ascii="Arial" w:cs="Arial" w:eastAsia="Arial" w:hAnsi="Arial"/>
          <w:sz w:val="24"/>
          <w:szCs w:val="24"/>
        </w:rPr>
        <w:t xml:space="preserve">Между тем, согласно пункту 9 части 1 </w:t>
      </w:r>
      <w:hyperlink w:history="1" r:id="rId1xlhyel3g51u8y8ax-yva">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Конституции Кыргызской Республики Кабинет Министров разрабатывает и реализует общегосударственные программы экономического, социального, научно-технологического, духовного и культурного развития.</w:t>
      </w:r>
    </w:p>
    <w:p>
      <w:pPr>
        <w:spacing w:after="60"/>
        <w:ind w:firstLine="567"/>
        <w:jc w:val="both"/>
      </w:pPr>
      <w:r>
        <w:rPr>
          <w:rFonts w:ascii="Arial" w:cs="Arial" w:eastAsia="Arial" w:hAnsi="Arial"/>
          <w:sz w:val="24"/>
          <w:szCs w:val="24"/>
        </w:rPr>
        <w:t xml:space="preserve">В соответствии с пунктами 3 и 7 части 2 </w:t>
      </w:r>
      <w:hyperlink w:history="1" r:id="rIdzs0vd_qrlvormuryhhixq">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конституционного Закона "О Кабинете Министров Кыргызской Республики" Кабинет Министров:</w:t>
      </w:r>
    </w:p>
    <w:p>
      <w:pPr>
        <w:spacing w:after="60"/>
        <w:ind w:firstLine="567"/>
        <w:jc w:val="both"/>
      </w:pPr>
      <w:r>
        <w:rPr>
          <w:rFonts w:ascii="Arial" w:cs="Arial" w:eastAsia="Arial" w:hAnsi="Arial"/>
          <w:sz w:val="24"/>
          <w:szCs w:val="24"/>
        </w:rPr>
        <w:t xml:space="preserve">- разрабатывает и вносит на утверждение Президенту национальные программы и обеспечивает их реализацию;</w:t>
      </w:r>
    </w:p>
    <w:p>
      <w:pPr>
        <w:spacing w:after="60"/>
        <w:ind w:firstLine="567"/>
        <w:jc w:val="both"/>
      </w:pPr>
      <w:r>
        <w:rPr>
          <w:rFonts w:ascii="Arial" w:cs="Arial" w:eastAsia="Arial" w:hAnsi="Arial"/>
          <w:sz w:val="24"/>
          <w:szCs w:val="24"/>
        </w:rPr>
        <w:t xml:space="preserve">- обеспечивает выполнение единой государственной политики в социально-экономической сфере, молодежной политики, политики в сферах культуры, искусства, туризма, спорта, науки, интеллектуальной собственности, образования, здравоохранения, труда, занятости и миграции, межэтнических отношений, защиты детей и гендерного равенства, социального обеспечения, охраны природы, экологической безопасности и природопользования, управления земельными ресурсами и регулирования земельных отношений; архитектурной, градостроительной и строительной деятельности, государственной и муниципальной службы, статистики, развития государственного языка, горных территорий и иных сферах.</w:t>
      </w:r>
    </w:p>
    <w:p>
      <w:pPr>
        <w:spacing w:after="60"/>
        <w:ind w:firstLine="567"/>
        <w:jc w:val="both"/>
      </w:pPr>
      <w:r>
        <w:rPr>
          <w:rFonts w:ascii="Arial" w:cs="Arial" w:eastAsia="Arial" w:hAnsi="Arial"/>
          <w:sz w:val="24"/>
          <w:szCs w:val="24"/>
        </w:rPr>
        <w:t xml:space="preserve">На основании вышеизложенного отмечаем, что стратегическое управление и планирование развития страны определяет Президент Кыргызской Республики, а исполнителем указанной стратегии является Кабинет Министров Кыргызской Республики.</w:t>
      </w:r>
    </w:p>
    <w:p>
      <w:pPr>
        <w:spacing w:after="60"/>
        <w:ind w:firstLine="567"/>
        <w:jc w:val="both"/>
      </w:pPr>
      <w:r>
        <w:rPr>
          <w:rFonts w:ascii="Arial" w:cs="Arial" w:eastAsia="Arial" w:hAnsi="Arial"/>
          <w:sz w:val="24"/>
          <w:szCs w:val="24"/>
        </w:rPr>
        <w:t xml:space="preserve">В целях упорядочения процесса стратегического управления и планирования развития страны, принятия государственных стратегических документов, в соответствии со статьями </w:t>
      </w:r>
      <w:hyperlink w:history="1" r:id="rIdsc-6jwjgkcxxo2wkp87mq">
        <w:r>
          <w:rPr>
            <w:rFonts w:ascii="Arial" w:cs="Arial" w:eastAsia="Arial" w:hAnsi="Arial"/>
            <w:color w:val="1D4ED8"/>
            <w:sz w:val="24"/>
            <w:szCs w:val="24"/>
            <w:u w:val="single"/>
          </w:rPr>
          <w:t xml:space="preserve">66</w:t>
        </w:r>
      </w:hyperlink>
      <w:r>
        <w:rPr>
          <w:rFonts w:ascii="Arial" w:cs="Arial" w:eastAsia="Arial" w:hAnsi="Arial"/>
          <w:sz w:val="24"/>
          <w:szCs w:val="24"/>
        </w:rPr>
        <w:t xml:space="preserve">, </w:t>
      </w:r>
      <w:hyperlink w:history="1" r:id="rIdkblgopxyksrgcmjm_nztm">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w:t>
      </w:r>
      <w:hyperlink w:history="1" r:id="rIdkkd6gzpkarf3vuhbw__q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o0rowynyfy4ns4vekfoym">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государственного стратегического управления в Кыргызской Республике" от 10 октября 2022 года № 349 уже утвержден </w:t>
      </w:r>
      <w:hyperlink w:history="1" r:id="rId3deskiuxdlpxhcjplslso">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который регулирует отношения, возникающие между участниками процесса государственного стратегического управления в Кыргызской Республике, и устанавливает правовые основы координации деятельности государственных органов и органов местного самоуправления в рамках государственного стратегического управления.</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целесообразным рассмотреть возможность пересмотра новой редакции положений проекта Закона, предложенного депутатами Жогорку Кенеша Кыргызской Республики, путем внесения изменений в положения </w:t>
      </w:r>
      <w:hyperlink w:history="1" r:id="rIdfnm3ylqcsfrm5m8mmpmr5">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порядке государственного стратегического управления в Кыргызской Республике" от 10 октября 2022 года № 349.</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0ioupkm1l015dqggk4g">
      <w:r>
        <w:rPr>
          <w:rFonts w:ascii="Arial" w:cs="Arial" w:eastAsia="Arial" w:hAnsi="Arial"/>
          <w:color w:val="132D3F"/>
          <w:sz w:val="16"/>
          <w:szCs w:val="16"/>
          <w:u w:val="single"/>
        </w:rPr>
        <w:t xml:space="preserve">dalil.kg/document/219428</w:t>
      </w:r>
    </w:hyperlink>
  </w:p>
  <w:p>
    <w:pPr>
      <w:spacing w:after="0" w:before="40"/>
      <w:jc w:val="center"/>
    </w:pPr>
    <w:hyperlink w:history="1" r:id="rIdkrj9vqr1xxdkt98e0ou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8xup8jimamatbdq4_8b" Type="http://schemas.openxmlformats.org/officeDocument/2006/relationships/hyperlink" Target="https://dalil.kg/document/112301#st_27" TargetMode="External"/><Relationship Id="rIdmips2bbljnczwjoc0b_n4" Type="http://schemas.openxmlformats.org/officeDocument/2006/relationships/hyperlink" Target="https://dalil.kg/document/219428" TargetMode="External"/><Relationship Id="rId4lloleivgqsjxsmpnqmrj" Type="http://schemas.openxmlformats.org/officeDocument/2006/relationships/hyperlink" Target="https://dalil.kg/document/112301#st_27" TargetMode="External"/><Relationship Id="rIdublgth8rgyw8sh7hjfgry" Type="http://schemas.openxmlformats.org/officeDocument/2006/relationships/hyperlink" Target="https://dalil.kg/document/112302" TargetMode="External"/><Relationship Id="rIdmh0k9tedb38gaawkyhhz0" Type="http://schemas.openxmlformats.org/officeDocument/2006/relationships/hyperlink" Target="https://dalil.kg/document/111338#st_2" TargetMode="External"/><Relationship Id="rId37dvccgiiyrwkgvkejmgt" Type="http://schemas.openxmlformats.org/officeDocument/2006/relationships/hyperlink" Target="https://dalil.kg/document/112301#st_2" TargetMode="External"/><Relationship Id="rIdmmeuqqmnsbc7gomiejs8u" Type="http://schemas.openxmlformats.org/officeDocument/2006/relationships/hyperlink" Target="https://dalil.kg/document/1516" TargetMode="External"/><Relationship Id="rIdya9pw8rijd_-rqvmqtvqs" Type="http://schemas.openxmlformats.org/officeDocument/2006/relationships/hyperlink" Target="https://dalil.kg/document/112213#st_108" TargetMode="External"/><Relationship Id="rIdfsbpppjic9d7zr2mrqvqs" Type="http://schemas.openxmlformats.org/officeDocument/2006/relationships/hyperlink" Target="https://dalil.kg/document/112213#st_110" TargetMode="External"/><Relationship Id="rIdeqitkwleisqrpvrcsacxz" Type="http://schemas.openxmlformats.org/officeDocument/2006/relationships/hyperlink" Target="https://dalil.kg/document/202591#st_2" TargetMode="External"/><Relationship Id="rIdnvnpfgrfwffnfieyjhnxb" Type="http://schemas.openxmlformats.org/officeDocument/2006/relationships/hyperlink" Target="https://dalil.kg/document/112213" TargetMode="External"/><Relationship Id="rIdvdjmbf4xo-45dcyhzqy7p" Type="http://schemas.openxmlformats.org/officeDocument/2006/relationships/hyperlink" Target="https://dalil.kg/document/112437#st_2" TargetMode="External"/><Relationship Id="rIdx2lysbljlrdy5z8v_kb_a" Type="http://schemas.openxmlformats.org/officeDocument/2006/relationships/hyperlink" Target="https://dalil.kg/document/112213#st_70" TargetMode="External"/><Relationship Id="rIdt8q3cccsb9cevq1kenrqm" Type="http://schemas.openxmlformats.org/officeDocument/2006/relationships/hyperlink" Target="https://dalil.kg/document/112213" TargetMode="External"/><Relationship Id="rIdk2qbsrcpejfimg6rgsk0f" Type="http://schemas.openxmlformats.org/officeDocument/2006/relationships/hyperlink" Target="https://dalil.kg/document/202591" TargetMode="External"/><Relationship Id="rIdlrphmmhgpo7fwcewlfgqa" Type="http://schemas.openxmlformats.org/officeDocument/2006/relationships/hyperlink" Target="https://dalil.kg/document/202591#st_24" TargetMode="External"/><Relationship Id="rIdbj7e5sgge0fyv6fogyx6e" Type="http://schemas.openxmlformats.org/officeDocument/2006/relationships/hyperlink" Target="https://dalil.kg/document/111338#st_2" TargetMode="External"/><Relationship Id="rIdojcadivsggqc5mwgmnysw" Type="http://schemas.openxmlformats.org/officeDocument/2006/relationships/hyperlink" Target="https://dalil.kg/document/111338#st_81-1" TargetMode="External"/><Relationship Id="rIdkgrhxjxjiqipuzkbtrsrf" Type="http://schemas.openxmlformats.org/officeDocument/2006/relationships/hyperlink" Target="https://dalil.kg/document/111338" TargetMode="External"/><Relationship Id="rIdccwiasliwgbhw8mquu2ym" Type="http://schemas.openxmlformats.org/officeDocument/2006/relationships/hyperlink" Target="https://dalil.kg/document/111338" TargetMode="External"/><Relationship Id="rIdtyqtryx8trct5c3yhfyqc" Type="http://schemas.openxmlformats.org/officeDocument/2006/relationships/hyperlink" Target="https://dalil.kg/document/111338" TargetMode="External"/><Relationship Id="rId0vxmmpu6jz4gaqtzjqh5h" Type="http://schemas.openxmlformats.org/officeDocument/2006/relationships/hyperlink" Target="https://dalil.kg/document/202591#st_2" TargetMode="External"/><Relationship Id="rIdoy10ncyl0b5hgdbstgkvx" Type="http://schemas.openxmlformats.org/officeDocument/2006/relationships/hyperlink" Target="https://dalil.kg/document/6" TargetMode="External"/><Relationship Id="rIdy2cavjefn_fd09dru2rtp" Type="http://schemas.openxmlformats.org/officeDocument/2006/relationships/hyperlink" Target="https://dalil.kg/document/202591#st_25" TargetMode="External"/><Relationship Id="rIdyetw5aoq-mouljmdehxlg" Type="http://schemas.openxmlformats.org/officeDocument/2006/relationships/hyperlink" Target="https://dalil.kg/document/202591#st_22" TargetMode="External"/><Relationship Id="rId6xiwalc1mnyhimvkgzgne" Type="http://schemas.openxmlformats.org/officeDocument/2006/relationships/hyperlink" Target="https://dalil.kg/document/202591#st_4" TargetMode="External"/><Relationship Id="rId7yxrqnjaeiynhqncl0gje" Type="http://schemas.openxmlformats.org/officeDocument/2006/relationships/hyperlink" Target="https://dalil.kg/document/112213#st_66" TargetMode="External"/><Relationship Id="rId1xlhyel3g51u8y8ax-yva" Type="http://schemas.openxmlformats.org/officeDocument/2006/relationships/hyperlink" Target="https://dalil.kg/document/112213#st_91" TargetMode="External"/><Relationship Id="rIdzs0vd_qrlvormuryhhixq" Type="http://schemas.openxmlformats.org/officeDocument/2006/relationships/hyperlink" Target="https://dalil.kg/document/112301#st_13" TargetMode="External"/><Relationship Id="rIdsc-6jwjgkcxxo2wkp87mq" Type="http://schemas.openxmlformats.org/officeDocument/2006/relationships/hyperlink" Target="https://dalil.kg/document/112213#st_66" TargetMode="External"/><Relationship Id="rIdkblgopxyksrgcmjm_nztm" Type="http://schemas.openxmlformats.org/officeDocument/2006/relationships/hyperlink" Target="https://dalil.kg/document/112213#st_71" TargetMode="External"/><Relationship Id="rIdkkd6gzpkarf3vuhbw__qo" Type="http://schemas.openxmlformats.org/officeDocument/2006/relationships/hyperlink" Target="https://dalil.kg/document/434826" TargetMode="External"/><Relationship Id="rIdo0rowynyfy4ns4vekfoym" Type="http://schemas.openxmlformats.org/officeDocument/2006/relationships/hyperlink" Target="https://dalil.kg/document/434834" TargetMode="External"/><Relationship Id="rId3deskiuxdlpxhcjplslso" Type="http://schemas.openxmlformats.org/officeDocument/2006/relationships/hyperlink" Target="https://dalil.kg/document/434834" TargetMode="External"/><Relationship Id="rIdfnm3ylqcsfrm5m8mmpmr5" Type="http://schemas.openxmlformats.org/officeDocument/2006/relationships/hyperlink" Target="https://dalil.kg/document/434826"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0ioupkm1l015dqggk4g" Type="http://schemas.openxmlformats.org/officeDocument/2006/relationships/hyperlink" Target="https://dalil.kg/document/219428" TargetMode="External"/><Relationship Id="rIdkrj9vqr1xxdkt98e0ou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2026-09-28T19:26:10.310Z</dcterms:created>
  <dcterms:modified xsi:type="dcterms:W3CDTF">2026-09-28T19:26:10.310Z</dcterms:modified>
</cp:coreProperties>
</file>

<file path=docProps/custom.xml><?xml version="1.0" encoding="utf-8"?>
<Properties xmlns="http://schemas.openxmlformats.org/officeDocument/2006/custom-properties" xmlns:vt="http://schemas.openxmlformats.org/officeDocument/2006/docPropsVTypes"/>
</file>