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28"/>
          <w:szCs w:val="28"/>
        </w:rPr>
        <w:t xml:space="preserve">КАБИНЕТ МИНИСТРОВ КЫРГЫЗСКОЙ РЕСПУБЛИКИ</w:t>
      </w:r>
    </w:p>
    <w:p>
      <w:pPr>
        <w:spacing w:after="360" w:before="200"/>
        <w:ind w:firstLine="397"/>
        <w:jc w:val="center"/>
      </w:pPr>
      <w:r>
        <w:rPr>
          <w:rFonts w:ascii="Arial" w:cs="Arial" w:eastAsia="Arial" w:hAnsi="Arial"/>
          <w:b/>
          <w:bCs/>
          <w:sz w:val="28"/>
          <w:szCs w:val="28"/>
        </w:rPr>
        <w:t xml:space="preserve">РАСПОРЯЖЕНИЕ</w:t>
      </w:r>
    </w:p>
    <w:p>
      <w:pPr>
        <w:spacing w:after="120"/>
        <w:jc w:val="both"/>
      </w:pPr>
      <w:r>
        <w:rPr>
          <w:rFonts w:ascii="Arial" w:cs="Arial" w:eastAsia="Arial" w:hAnsi="Arial"/>
          <w:sz w:val="24"/>
          <w:szCs w:val="24"/>
        </w:rPr>
        <w:t xml:space="preserve">от 1 февраля 2023 года № 33-р</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надлежащего исполнения требований </w:t>
      </w:r>
      <w:hyperlink w:history="1" r:id="rIdusil803pd3-qvz9c9yf0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реализации полномочий Кабинета Министров Кыргызской Республики, руководствуясь статьями </w:t>
      </w:r>
      <w:hyperlink w:history="1" r:id="rIdntkhwwkv85pggqghrkq24">
        <w:r>
          <w:rPr>
            <w:rFonts w:ascii="Arial" w:cs="Arial" w:eastAsia="Arial" w:hAnsi="Arial"/>
            <w:color w:val="1D4ED8"/>
            <w:sz w:val="24"/>
            <w:szCs w:val="24"/>
            <w:u w:val="single"/>
          </w:rPr>
          <w:t xml:space="preserve">91</w:t>
        </w:r>
      </w:hyperlink>
      <w:r>
        <w:rPr>
          <w:rFonts w:ascii="Arial" w:cs="Arial" w:eastAsia="Arial" w:hAnsi="Arial"/>
          <w:sz w:val="24"/>
          <w:szCs w:val="24"/>
        </w:rPr>
        <w:t xml:space="preserve">, </w:t>
      </w:r>
      <w:hyperlink w:history="1" r:id="rIdg-xh41f-xphtkqg1etnud">
        <w:r>
          <w:rPr>
            <w:rFonts w:ascii="Arial" w:cs="Arial" w:eastAsia="Arial" w:hAnsi="Arial"/>
            <w:color w:val="1D4ED8"/>
            <w:sz w:val="24"/>
            <w:szCs w:val="24"/>
            <w:u w:val="single"/>
          </w:rPr>
          <w:t xml:space="preserve">97</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1. Одобрить прилагаемое </w:t>
      </w:r>
      <w:hyperlink w:history="1" r:id="rIdxeeeq9mag6p1nixa00ljk">
        <w:r>
          <w:rPr>
            <w:rFonts w:ascii="Arial" w:cs="Arial" w:eastAsia="Arial" w:hAnsi="Arial"/>
            <w:color w:val="1D4ED8"/>
            <w:sz w:val="24"/>
            <w:szCs w:val="24"/>
            <w:u w:val="single"/>
          </w:rPr>
          <w:t xml:space="preserve">представление</w:t>
        </w:r>
      </w:hyperlink>
      <w:r>
        <w:rPr>
          <w:rFonts w:ascii="Arial" w:cs="Arial" w:eastAsia="Arial" w:hAnsi="Arial"/>
          <w:sz w:val="24"/>
          <w:szCs w:val="24"/>
        </w:rPr>
        <w:t xml:space="preserve"> в Конституционный суд Кыргызской Республики об официальном толковании части 2 </w:t>
      </w:r>
      <w:hyperlink w:history="1" r:id="rIdvckvpulfm_ph1wbukj3jt">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w:t>
      </w:r>
    </w:p>
    <w:p>
      <w:pPr>
        <w:spacing w:after="120"/>
        <w:jc w:val="both"/>
      </w:pPr>
      <w:r>
        <w:rPr>
          <w:rFonts w:ascii="Arial" w:cs="Arial" w:eastAsia="Arial" w:hAnsi="Arial"/>
          <w:sz w:val="24"/>
          <w:szCs w:val="24"/>
        </w:rPr>
        <w:t xml:space="preserve">2. Уполномочить и выдать доверенность на право представления интересов Кабинета Министров Кыргызской Республики по вышеуказанному вопросу в Конституционном суде Кыргызской Республики:</w:t>
      </w:r>
    </w:p>
    <w:p>
      <w:pPr>
        <w:spacing w:after="120"/>
        <w:jc w:val="both"/>
      </w:pPr>
      <w:r>
        <w:rPr>
          <w:rFonts w:ascii="Arial" w:cs="Arial" w:eastAsia="Arial" w:hAnsi="Arial"/>
          <w:sz w:val="24"/>
          <w:szCs w:val="24"/>
        </w:rPr>
        <w:t xml:space="preserve">- председателю Социального фонда Кыргызской Республики при Кабинете Министров Кыргызской Республики Алиеву Бактияру Дженишбековичу;</w:t>
      </w:r>
    </w:p>
    <w:p>
      <w:pPr>
        <w:spacing w:after="120"/>
        <w:jc w:val="both"/>
      </w:pPr>
      <w:r>
        <w:rPr>
          <w:rFonts w:ascii="Arial" w:cs="Arial" w:eastAsia="Arial" w:hAnsi="Arial"/>
          <w:sz w:val="24"/>
          <w:szCs w:val="24"/>
        </w:rPr>
        <w:t xml:space="preserve">- министру труда, социального обеспечения и миграции Кыргызской Республики Базарбаеву Кудайбергену Базарбаевичу;</w:t>
      </w:r>
    </w:p>
    <w:p>
      <w:pPr>
        <w:spacing w:after="120"/>
        <w:jc w:val="both"/>
      </w:pPr>
      <w:r>
        <w:rPr>
          <w:rFonts w:ascii="Arial" w:cs="Arial" w:eastAsia="Arial" w:hAnsi="Arial"/>
          <w:sz w:val="24"/>
          <w:szCs w:val="24"/>
        </w:rPr>
        <w:t xml:space="preserve">- министру финансов Кыргызской Республики Бакетаеву Алмазу Кушбековичу.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28"/>
          <w:szCs w:val="28"/>
        </w:rPr>
        <w:t xml:space="preserve">Представление
 в Конституционный суд Кыргызской Республики об официальном толковании части 2 статьи 44 Конституции Кыргызской Республики</w:t>
      </w:r>
    </w:p>
    <w:p>
      <w:pPr>
        <w:spacing w:after="60"/>
        <w:ind w:firstLine="567"/>
        <w:jc w:val="both"/>
      </w:pPr>
      <w:r>
        <w:rPr>
          <w:rFonts w:ascii="Arial" w:cs="Arial" w:eastAsia="Arial" w:hAnsi="Arial"/>
          <w:sz w:val="24"/>
          <w:szCs w:val="24"/>
        </w:rPr>
        <w:t xml:space="preserve">В соответствии с частью 2 </w:t>
      </w:r>
      <w:hyperlink w:history="1" r:id="rId1agwjdraqa8z5gme5gmyv">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основанием для обращения в Конституционный суд Кыргызской Республики с данным представлением послужила неопределенность (неясность, неоднозначность) в применении части 2 </w:t>
      </w:r>
      <w:hyperlink w:history="1" r:id="rIdqlgmtulk9maufyexz-4-q">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b/>
          <w:bCs/>
          <w:sz w:val="24"/>
          <w:szCs w:val="24"/>
        </w:rPr>
        <w:t xml:space="preserve">Часть 2 </w:t>
      </w:r>
      <w:hyperlink w:history="1" r:id="rId5j3scw-wvkpnigqmiul0s">
        <w:r>
          <w:rPr>
            <w:rFonts w:ascii="Arial" w:cs="Arial" w:eastAsia="Arial" w:hAnsi="Arial"/>
            <w:b/>
            <w:bCs/>
            <w:color w:val="1D4ED8"/>
            <w:sz w:val="24"/>
            <w:szCs w:val="24"/>
            <w:u w:val="single"/>
          </w:rPr>
          <w:t xml:space="preserve">статьи 44</w:t>
        </w:r>
      </w:hyperlink>
      <w:r>
        <w:rPr>
          <w:rFonts w:ascii="Arial" w:cs="Arial" w:eastAsia="Arial" w:hAnsi="Arial"/>
          <w:b/>
          <w:bCs/>
          <w:sz w:val="24"/>
          <w:szCs w:val="24"/>
        </w:rPr>
        <w:t xml:space="preserve"> Конституции Кыргызской Республики гласит, что "пенсия, социальное пособие и другая социальная помощь обеспечивают уровень жизни не ниже установленного законом размера прожиточного минимума".</w:t>
      </w:r>
    </w:p>
    <w:p>
      <w:pPr>
        <w:spacing w:after="60"/>
        <w:ind w:firstLine="567"/>
        <w:jc w:val="both"/>
      </w:pPr>
      <w:r>
        <w:rPr>
          <w:rFonts w:ascii="Arial" w:cs="Arial" w:eastAsia="Arial" w:hAnsi="Arial"/>
          <w:sz w:val="24"/>
          <w:szCs w:val="24"/>
        </w:rPr>
        <w:t xml:space="preserve">В соответствии со </w:t>
      </w:r>
      <w:hyperlink w:history="1" r:id="rIdmjrbdyzzf9dvtacdl2dcn">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в случае обнаружения неясностей в нормативных правовых актах, неправильной или противоречивой практики их применения дается официальное толкование (разъяснение).</w:t>
      </w:r>
    </w:p>
    <w:p>
      <w:pPr>
        <w:spacing w:after="60"/>
        <w:ind w:firstLine="567"/>
        <w:jc w:val="both"/>
      </w:pPr>
      <w:r>
        <w:rPr>
          <w:rFonts w:ascii="Arial" w:cs="Arial" w:eastAsia="Arial" w:hAnsi="Arial"/>
          <w:sz w:val="24"/>
          <w:szCs w:val="24"/>
        </w:rPr>
        <w:t xml:space="preserve">Отмечаем, что социальное обеспечение как особый социальный институт современного государства является показателем социальной уверенности, социальной гарантией достойного существования каждого члена общества и сохранения источника средств к существованию при наступлении социальных рисков. С учетом изложенного социальное обеспечение принято определять как форму распределения материальных благ с целью удовлетворения жизненно необходимых личных потребностей (физических, социальных, интеллектуальных) стариков, больных, инвалидов, детей, иждивенцев, потерявших кормильца за счет специальных фондов, создаваемых в обществе на страховой основе или за счет ассигнований государства в случаях и на условиях, установленных в законе.</w:t>
      </w:r>
    </w:p>
    <w:p>
      <w:pPr>
        <w:spacing w:after="60"/>
        <w:ind w:firstLine="567"/>
        <w:jc w:val="both"/>
      </w:pPr>
      <w:r>
        <w:rPr>
          <w:rFonts w:ascii="Arial" w:cs="Arial" w:eastAsia="Arial" w:hAnsi="Arial"/>
          <w:sz w:val="24"/>
          <w:szCs w:val="24"/>
        </w:rPr>
        <w:t xml:space="preserve">Также социальное обеспечение является определенной формой жизнеобеспечения граждан в указанных случаях, служит гарантией их социальной защиты и включает комплекс различных мер, принимаемых государством для ее осуществления. Обеспечение, предоставляемое человеку обществом, государством в тех случаях, когда он в силу различных жизненных обстоятельств нуждается в поддержке, призвано гарантировать определенный социальный комфорт, восстанавливать и поддерживать статус полноценного члена общества.</w:t>
      </w:r>
    </w:p>
    <w:p>
      <w:pPr>
        <w:spacing w:after="60"/>
        <w:ind w:firstLine="567"/>
        <w:jc w:val="both"/>
      </w:pPr>
      <w:r>
        <w:rPr>
          <w:rFonts w:ascii="Arial" w:cs="Arial" w:eastAsia="Arial" w:hAnsi="Arial"/>
          <w:sz w:val="24"/>
          <w:szCs w:val="24"/>
        </w:rPr>
        <w:t xml:space="preserve">В </w:t>
      </w:r>
      <w:hyperlink w:history="1" r:id="rIdltyssaegdwfdvluwdwqix">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Всеобщей декларации прав человека провозглашено, что каждый человек как член общества имеет право на социальное обеспечение. Это право по своему характеру должно позволять обеспечивать с учетом имеющихся у общества материальных возможностей достойное существование человека при наступлении таких жизненных ситуаций, когда он не в состоянии получать источник дохода в обмен на затраченный труд.</w:t>
      </w:r>
    </w:p>
    <w:p>
      <w:pPr>
        <w:spacing w:after="60"/>
        <w:ind w:firstLine="567"/>
        <w:jc w:val="both"/>
      </w:pPr>
      <w:r>
        <w:rPr>
          <w:rFonts w:ascii="Arial" w:cs="Arial" w:eastAsia="Arial" w:hAnsi="Arial"/>
          <w:sz w:val="24"/>
          <w:szCs w:val="24"/>
        </w:rPr>
        <w:t xml:space="preserve">При этом, в соответствии со </w:t>
      </w:r>
      <w:hyperlink w:history="1" r:id="rId4qx6jxc2vejpbkc75mun1">
        <w:r>
          <w:rPr>
            <w:rFonts w:ascii="Arial" w:cs="Arial" w:eastAsia="Arial" w:hAnsi="Arial"/>
            <w:color w:val="1D4ED8"/>
            <w:sz w:val="24"/>
            <w:szCs w:val="24"/>
            <w:u w:val="single"/>
          </w:rPr>
          <w:t xml:space="preserve">статьей 2</w:t>
        </w:r>
      </w:hyperlink>
      <w:r>
        <w:rPr>
          <w:rFonts w:ascii="Arial" w:cs="Arial" w:eastAsia="Arial" w:hAnsi="Arial"/>
          <w:sz w:val="24"/>
          <w:szCs w:val="24"/>
        </w:rPr>
        <w:t xml:space="preserve"> Международного пакта об экономических, социальных и культурных правах, принятого Резолюцией 2200 А (XXI) Генеральной Ассамблеи ООН от 16 декабря 1966 года (Кыргызская Республика присоединилась в соответствии с </w:t>
      </w:r>
      <w:hyperlink w:history="1" r:id="rId5fuwyie20fb13jwjsmjx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 каждое участвующее в данном Пакте государство обязуется в индивидуальном порядке и в порядке международной помощи и сотрудничества, в частности, в экономической и технической областях, </w:t>
      </w:r>
      <w:r>
        <w:rPr>
          <w:rFonts w:ascii="Arial" w:cs="Arial" w:eastAsia="Arial" w:hAnsi="Arial"/>
          <w:b/>
          <w:bCs/>
          <w:sz w:val="24"/>
          <w:szCs w:val="24"/>
        </w:rPr>
        <w:t xml:space="preserve">принять в максимальных пределах имеющихся ресурсов меры к тому, чтобы обеспечить постепенно полное осуществление признаваемых прав</w:t>
      </w:r>
      <w:r>
        <w:rPr>
          <w:rFonts w:ascii="Arial" w:cs="Arial" w:eastAsia="Arial" w:hAnsi="Arial"/>
          <w:sz w:val="24"/>
          <w:szCs w:val="24"/>
        </w:rPr>
        <w:t xml:space="preserve"> всеми надлежащими способами.</w:t>
      </w:r>
    </w:p>
    <w:p>
      <w:pPr>
        <w:spacing w:after="60"/>
        <w:ind w:firstLine="567"/>
        <w:jc w:val="both"/>
      </w:pPr>
      <w:r>
        <w:rPr>
          <w:rFonts w:ascii="Arial" w:cs="Arial" w:eastAsia="Arial" w:hAnsi="Arial"/>
          <w:sz w:val="24"/>
          <w:szCs w:val="24"/>
        </w:rPr>
        <w:t xml:space="preserve">В соответствии со статьей 67 Конвенции Международной организации труда № 102 о минимальных нормах социального обеспечения (Кыргызская Республика участница с 2 марта 1992 г.) Кыргызская Республика нацелена на </w:t>
      </w:r>
      <w:r>
        <w:rPr>
          <w:rFonts w:ascii="Arial" w:cs="Arial" w:eastAsia="Arial" w:hAnsi="Arial"/>
          <w:b/>
          <w:bCs/>
          <w:sz w:val="24"/>
          <w:szCs w:val="24"/>
        </w:rPr>
        <w:t xml:space="preserve">постепенное построение всеобщих и всеобъемлющих систем социальной защиты и обеспечение адекватных уровней такой защиты.</w:t>
      </w:r>
    </w:p>
    <w:p>
      <w:pPr>
        <w:spacing w:after="60"/>
        <w:ind w:firstLine="567"/>
        <w:jc w:val="both"/>
      </w:pPr>
      <w:r>
        <w:rPr>
          <w:rFonts w:ascii="Arial" w:cs="Arial" w:eastAsia="Arial" w:hAnsi="Arial"/>
          <w:sz w:val="24"/>
          <w:szCs w:val="24"/>
        </w:rPr>
        <w:t xml:space="preserve">Так, в соответствии со </w:t>
      </w:r>
      <w:hyperlink w:history="1" r:id="rIdmkjodxref2tlul08z6r4y">
        <w:r>
          <w:rPr>
            <w:rFonts w:ascii="Arial" w:cs="Arial" w:eastAsia="Arial" w:hAnsi="Arial"/>
            <w:color w:val="1D4ED8"/>
            <w:sz w:val="24"/>
            <w:szCs w:val="24"/>
            <w:u w:val="single"/>
          </w:rPr>
          <w:t xml:space="preserve">статьей 3</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назначаются пенсии по возрасту; по инвалидности; по случаю потери кормильца.</w:t>
      </w:r>
    </w:p>
    <w:p>
      <w:pPr>
        <w:spacing w:after="60"/>
        <w:ind w:firstLine="567"/>
        <w:jc w:val="both"/>
      </w:pPr>
      <w:r>
        <w:rPr>
          <w:rFonts w:ascii="Arial" w:cs="Arial" w:eastAsia="Arial" w:hAnsi="Arial"/>
          <w:sz w:val="24"/>
          <w:szCs w:val="24"/>
        </w:rPr>
        <w:t xml:space="preserve">Согласно положениям </w:t>
      </w:r>
      <w:hyperlink w:history="1" r:id="rIdeklxfgxgxwwp1lrb5ynl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60"/>
        <w:ind w:firstLine="567"/>
        <w:jc w:val="both"/>
      </w:pPr>
      <w:r>
        <w:rPr>
          <w:rFonts w:ascii="Arial" w:cs="Arial" w:eastAsia="Arial" w:hAnsi="Arial"/>
          <w:sz w:val="24"/>
          <w:szCs w:val="24"/>
        </w:rPr>
        <w:t xml:space="preserve">- пенсии по возрасту назначаются женщинам, достигшим возраста 58 лет, при страховом стаже 20 лет, мужчинам, достигшим возраста 63 года, при страховом стаже 25 лет (</w:t>
      </w:r>
      <w:hyperlink w:history="1" r:id="rIdgtg42aytid7w3t3ivnaeq">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пенсии по инвалидности устанавливаются независимо от причины наступления инвалидности в случае стойкой утраты трудоспособности и признания лица инвалидом, и выплачиваются до восстановления трудоспособности или пожизненно (</w:t>
      </w:r>
      <w:hyperlink w:history="1" r:id="rIdpoaxvj7rlznpivxizqvl7">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пенсии по случаю потери кормильца назначаются нетрудоспособным членам семьи, состоявшим на иждивении умершего, если кормилец ко дню смерти имел стаж, который был бы необходим ему для назначения пенсии по инвалидности (</w:t>
      </w:r>
      <w:hyperlink w:history="1" r:id="rIdfqvdhy0z6i6ibdm7zyh7r">
        <w:r>
          <w:rPr>
            <w:rFonts w:ascii="Arial" w:cs="Arial" w:eastAsia="Arial" w:hAnsi="Arial"/>
            <w:color w:val="1D4ED8"/>
            <w:sz w:val="24"/>
            <w:szCs w:val="24"/>
            <w:u w:val="single"/>
          </w:rPr>
          <w:t xml:space="preserve">статья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 этом с 1 октября 2021 года проведена индексация базовой части пенсий, назначенных до 1 октября 2021 года, общий размер которых ниже величины прожиточного минимума пенсионера, сложившейся за предыдущий год, с учетом роста средней заработной платы за 2020 год к средней заработной плате за 2019 год, на 110 процентов (постановление Кабинета Министров Кыргызской Республики "Об индексации базовой части пенсий, общий размер которых ниже величины прожиточного минимума пенсионера, сложившейся за предыдущий год, с 1 октября 2021 года" от 22 сентября 2021 года № 177).</w:t>
      </w:r>
    </w:p>
    <w:p>
      <w:pPr>
        <w:spacing w:after="60"/>
        <w:ind w:firstLine="567"/>
        <w:jc w:val="both"/>
      </w:pPr>
      <w:r>
        <w:rPr>
          <w:rFonts w:ascii="Arial" w:cs="Arial" w:eastAsia="Arial" w:hAnsi="Arial"/>
          <w:sz w:val="24"/>
          <w:szCs w:val="24"/>
        </w:rPr>
        <w:t xml:space="preserve">С 1 октября 2022 года базовая часть пенсии установлена в размере 3170,0 (три тысячи сто семьдесят) сомов (</w:t>
      </w:r>
      <w:hyperlink w:history="1" r:id="rIdsorqsej3a8iptu8f-le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установлении размера базовой части пенсии с 1 октября 2022 года" от 9 сентября 2022 года № 504).</w:t>
      </w:r>
    </w:p>
    <w:p>
      <w:pPr>
        <w:spacing w:after="60"/>
        <w:ind w:firstLine="567"/>
        <w:jc w:val="both"/>
      </w:pPr>
      <w:r>
        <w:rPr>
          <w:rFonts w:ascii="Arial" w:cs="Arial" w:eastAsia="Arial" w:hAnsi="Arial"/>
          <w:sz w:val="24"/>
          <w:szCs w:val="24"/>
        </w:rPr>
        <w:t xml:space="preserve">Кроме этого, с 1 октября 2021 года установлено, что размер базовой части пенсии каждого ребенка, получающего пенсию по случаю потери кормильца, не может быть ниже размера ежемесячного социального пособия детям в случае потери одного или обоих родителей (</w:t>
      </w:r>
      <w:hyperlink w:history="1" r:id="rId1pwapbfiolrxlgn-awx7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повышении уровня пенсионного обеспечения детей, потерявших кормильцев" от 15 ноября 2021 года № 265).</w:t>
      </w:r>
    </w:p>
    <w:p>
      <w:pPr>
        <w:spacing w:after="60"/>
        <w:ind w:firstLine="567"/>
        <w:jc w:val="both"/>
      </w:pPr>
      <w:r>
        <w:rPr>
          <w:rFonts w:ascii="Arial" w:cs="Arial" w:eastAsia="Arial" w:hAnsi="Arial"/>
          <w:sz w:val="24"/>
          <w:szCs w:val="24"/>
        </w:rPr>
        <w:t xml:space="preserve">В соответствии с частью 4 </w:t>
      </w:r>
      <w:hyperlink w:history="1" r:id="rIdrw8rr4p_duw5o6lfvcmz9">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в целях обеспечения защиты интересов пенсионеров проводится индексация базовой и страховых частей пенсии. Базовая часть пенсии индексируется если общий размер пенсии ниже величины прожиточного минимума пенсионера (фактически сложившейся за предыдущий календарный год). Условием проведения индексации страховых частей пенсии является рост величины средней заработной платы и индекса потребительских цен, сложившихся за календарный год, предшествующий индексации.</w:t>
      </w:r>
    </w:p>
    <w:p>
      <w:pPr>
        <w:spacing w:after="60"/>
        <w:ind w:firstLine="567"/>
        <w:jc w:val="both"/>
      </w:pPr>
      <w:r>
        <w:rPr>
          <w:rFonts w:ascii="Arial" w:cs="Arial" w:eastAsia="Arial" w:hAnsi="Arial"/>
          <w:sz w:val="24"/>
          <w:szCs w:val="24"/>
        </w:rPr>
        <w:t xml:space="preserve">Коэффициент индексации размеров страховых частей пенсии составляет величину не менее среднего значения от суммы индекса потребительских цен и роста среднемесячной заработной платы, сложившихся за предыдущий календарный год. При этом размер индексации составляет не менее роста величины прожиточного минимума пенсионера за предыдущий календарный год.</w:t>
      </w:r>
    </w:p>
    <w:p>
      <w:pPr>
        <w:spacing w:after="60"/>
        <w:ind w:firstLine="567"/>
        <w:jc w:val="both"/>
      </w:pPr>
      <w:r>
        <w:rPr>
          <w:rFonts w:ascii="Arial" w:cs="Arial" w:eastAsia="Arial" w:hAnsi="Arial"/>
          <w:sz w:val="24"/>
          <w:szCs w:val="24"/>
        </w:rPr>
        <w:t xml:space="preserve">Индексация пенсий проводится ежегодно в пределах средств, предусмотренных в бюджете Социального фонда Кыргызской Республики.</w:t>
      </w:r>
    </w:p>
    <w:p>
      <w:pPr>
        <w:spacing w:after="60"/>
        <w:ind w:firstLine="567"/>
        <w:jc w:val="both"/>
      </w:pPr>
      <w:r>
        <w:rPr>
          <w:rFonts w:ascii="Arial" w:cs="Arial" w:eastAsia="Arial" w:hAnsi="Arial"/>
          <w:sz w:val="24"/>
          <w:szCs w:val="24"/>
        </w:rPr>
        <w:t xml:space="preserve">С 1 октября 2022 года коэффициент индексации размеров страховых частей пенсии утвержден в размере 1,15 (</w:t>
      </w:r>
      <w:hyperlink w:history="1" r:id="rId5gkdha2g4ikdkrgolqjy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индексации размеров страховых частей пенсии с 1 октября 2022 года" от 9 сентября 2022 года № 505).</w:t>
      </w:r>
    </w:p>
    <w:p>
      <w:pPr>
        <w:spacing w:after="60"/>
        <w:ind w:firstLine="567"/>
        <w:jc w:val="both"/>
      </w:pPr>
      <w:r>
        <w:rPr>
          <w:rFonts w:ascii="Arial" w:cs="Arial" w:eastAsia="Arial" w:hAnsi="Arial"/>
          <w:sz w:val="24"/>
          <w:szCs w:val="24"/>
        </w:rPr>
        <w:t xml:space="preserve">Вместе с тем, предпринимаемые шаги по реформированию пенсионной системы в силу объективных причин не могут дать незамедлительного эффекта, так как пенсионная система имеет долгосрочные обязательства.</w:t>
      </w:r>
    </w:p>
    <w:p>
      <w:pPr>
        <w:spacing w:after="60"/>
        <w:ind w:firstLine="567"/>
        <w:jc w:val="both"/>
      </w:pPr>
      <w:r>
        <w:rPr>
          <w:rFonts w:ascii="Arial" w:cs="Arial" w:eastAsia="Arial" w:hAnsi="Arial"/>
          <w:sz w:val="24"/>
          <w:szCs w:val="24"/>
        </w:rPr>
        <w:t xml:space="preserve">Отмечаем, что в соответствии со </w:t>
      </w:r>
      <w:hyperlink w:history="1" r:id="rIdoeji3kspqpiar_pv9ncpk">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Кыргызской Республики "О государственных пособиях в Кыргызской Республике" государственные пособия подразделяются на следующие виды:</w:t>
      </w:r>
    </w:p>
    <w:p>
      <w:pPr>
        <w:spacing w:after="60"/>
        <w:ind w:firstLine="567"/>
        <w:jc w:val="both"/>
      </w:pPr>
      <w:r>
        <w:rPr>
          <w:rFonts w:ascii="Arial" w:cs="Arial" w:eastAsia="Arial" w:hAnsi="Arial"/>
          <w:sz w:val="24"/>
          <w:szCs w:val="24"/>
        </w:rPr>
        <w:t xml:space="preserve">1) единовременная выплата при рождении каждого ребенка - "балага суйунчу";</w:t>
      </w:r>
    </w:p>
    <w:p>
      <w:pPr>
        <w:spacing w:after="60"/>
        <w:ind w:firstLine="567"/>
        <w:jc w:val="both"/>
      </w:pPr>
      <w:r>
        <w:rPr>
          <w:rFonts w:ascii="Arial" w:cs="Arial" w:eastAsia="Arial" w:hAnsi="Arial"/>
          <w:sz w:val="24"/>
          <w:szCs w:val="24"/>
        </w:rPr>
        <w:t xml:space="preserve">2) ежемесячное пособие нуждающимся гражданам (семьям), имеющим детей до 16 лет, - "уй-булого комок";</w:t>
      </w:r>
    </w:p>
    <w:p>
      <w:pPr>
        <w:spacing w:after="60"/>
        <w:ind w:firstLine="567"/>
        <w:jc w:val="both"/>
      </w:pPr>
      <w:r>
        <w:rPr>
          <w:rFonts w:ascii="Arial" w:cs="Arial" w:eastAsia="Arial" w:hAnsi="Arial"/>
          <w:sz w:val="24"/>
          <w:szCs w:val="24"/>
        </w:rPr>
        <w:t xml:space="preserve">3) ежемесячное пособие лицам, не имеющим права на пенсионное обеспечение, - "социальное пособие";</w:t>
      </w:r>
    </w:p>
    <w:p>
      <w:pPr>
        <w:spacing w:after="60"/>
        <w:ind w:firstLine="567"/>
        <w:jc w:val="both"/>
      </w:pPr>
      <w:r>
        <w:rPr>
          <w:rFonts w:ascii="Arial" w:cs="Arial" w:eastAsia="Arial" w:hAnsi="Arial"/>
          <w:sz w:val="24"/>
          <w:szCs w:val="24"/>
        </w:rPr>
        <w:t xml:space="preserve">4) ежемесячное пособие детям, оба родителя которых неизвестны.</w:t>
      </w:r>
    </w:p>
    <w:p>
      <w:pPr>
        <w:spacing w:after="60"/>
        <w:ind w:firstLine="567"/>
        <w:jc w:val="both"/>
      </w:pPr>
      <w:r>
        <w:rPr>
          <w:rFonts w:ascii="Arial" w:cs="Arial" w:eastAsia="Arial" w:hAnsi="Arial"/>
          <w:sz w:val="24"/>
          <w:szCs w:val="24"/>
        </w:rPr>
        <w:t xml:space="preserve">При этом размеры государственных пособий ежегодно устанавливаются Правительством (Кабинетом Министров) Кыргызской Республики исходя из возможностей бюджета и состояния экономики с учетом прожиточного минимума.</w:t>
      </w:r>
    </w:p>
    <w:p>
      <w:pPr>
        <w:spacing w:after="60"/>
        <w:ind w:firstLine="567"/>
        <w:jc w:val="both"/>
      </w:pPr>
      <w:r>
        <w:rPr>
          <w:rFonts w:ascii="Arial" w:cs="Arial" w:eastAsia="Arial" w:hAnsi="Arial"/>
          <w:sz w:val="24"/>
          <w:szCs w:val="24"/>
        </w:rPr>
        <w:t xml:space="preserve">В соответствии с </w:t>
      </w:r>
      <w:hyperlink w:history="1" r:id="rIdcrql6msgnzal492rlta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ga0x6or0yp9miqlxmbzc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 размер ежемесячного пособия нуждающимся гражданам (семьям), имеющим детей до 16 лет, - "уй-булого комок" составляет 1200 (одна тысяча двести) сомов.</w:t>
      </w:r>
    </w:p>
    <w:p>
      <w:pPr>
        <w:spacing w:after="60"/>
        <w:ind w:firstLine="567"/>
        <w:jc w:val="both"/>
      </w:pPr>
      <w:r>
        <w:rPr>
          <w:rFonts w:ascii="Arial" w:cs="Arial" w:eastAsia="Arial" w:hAnsi="Arial"/>
          <w:sz w:val="24"/>
          <w:szCs w:val="24"/>
        </w:rPr>
        <w:t xml:space="preserve">Кроме этого, ежемесячное социальное пособие лицам, не имеющим права на пенсионное обеспечение, - "социальное пособие" утверждено в следующих размерах:</w:t>
      </w:r>
    </w:p>
    <w:p>
      <w:pPr>
        <w:spacing w:after="60"/>
        <w:ind w:firstLine="567"/>
        <w:jc w:val="both"/>
      </w:pPr>
      <w:r>
        <w:rPr>
          <w:rFonts w:ascii="Arial" w:cs="Arial" w:eastAsia="Arial" w:hAnsi="Arial"/>
          <w:sz w:val="24"/>
          <w:szCs w:val="24"/>
        </w:rPr>
        <w:t xml:space="preserve">1) детям, рожденным от матерей, живущих с ВИЧ или СПИДом - 8000 (восемь тысяч) сомов;</w:t>
      </w:r>
    </w:p>
    <w:p>
      <w:pPr>
        <w:spacing w:after="60"/>
        <w:ind w:firstLine="567"/>
        <w:jc w:val="both"/>
      </w:pPr>
      <w:r>
        <w:rPr>
          <w:rFonts w:ascii="Arial" w:cs="Arial" w:eastAsia="Arial" w:hAnsi="Arial"/>
          <w:sz w:val="24"/>
          <w:szCs w:val="24"/>
        </w:rPr>
        <w:t xml:space="preserve">2) детям с ограниченными возможностями здоровья - 8000 (восемь тысяч) сомов;</w:t>
      </w:r>
    </w:p>
    <w:p>
      <w:pPr>
        <w:spacing w:after="60"/>
        <w:ind w:firstLine="567"/>
        <w:jc w:val="both"/>
      </w:pPr>
      <w:r>
        <w:rPr>
          <w:rFonts w:ascii="Arial" w:cs="Arial" w:eastAsia="Arial" w:hAnsi="Arial"/>
          <w:sz w:val="24"/>
          <w:szCs w:val="24"/>
        </w:rPr>
        <w:t xml:space="preserve">3) детям в случае потери одного родителя - 3000 (три тысячи) сомов;</w:t>
      </w:r>
    </w:p>
    <w:p>
      <w:pPr>
        <w:spacing w:after="60"/>
        <w:ind w:firstLine="567"/>
        <w:jc w:val="both"/>
      </w:pPr>
      <w:r>
        <w:rPr>
          <w:rFonts w:ascii="Arial" w:cs="Arial" w:eastAsia="Arial" w:hAnsi="Arial"/>
          <w:sz w:val="24"/>
          <w:szCs w:val="24"/>
        </w:rPr>
        <w:t xml:space="preserve">4) детям в случае потери обоих родителей - 6000 (шесть тысяч) сомов;</w:t>
      </w:r>
    </w:p>
    <w:p>
      <w:pPr>
        <w:spacing w:after="60"/>
        <w:ind w:firstLine="567"/>
        <w:jc w:val="both"/>
      </w:pPr>
      <w:r>
        <w:rPr>
          <w:rFonts w:ascii="Arial" w:cs="Arial" w:eastAsia="Arial" w:hAnsi="Arial"/>
          <w:sz w:val="24"/>
          <w:szCs w:val="24"/>
        </w:rPr>
        <w:t xml:space="preserve">5) лицам с ограниченными возможностями здоровья с детства I группы - 8000 (восемь тысяч) сомов;</w:t>
      </w:r>
    </w:p>
    <w:p>
      <w:pPr>
        <w:spacing w:after="60"/>
        <w:ind w:firstLine="567"/>
        <w:jc w:val="both"/>
      </w:pPr>
      <w:r>
        <w:rPr>
          <w:rFonts w:ascii="Arial" w:cs="Arial" w:eastAsia="Arial" w:hAnsi="Arial"/>
          <w:sz w:val="24"/>
          <w:szCs w:val="24"/>
        </w:rPr>
        <w:t xml:space="preserve">6) лицам с ограниченными возможностями здоровья с детства II группы - 6600 (шесть тысяч шестьсот) сомов;</w:t>
      </w:r>
    </w:p>
    <w:p>
      <w:pPr>
        <w:spacing w:after="60"/>
        <w:ind w:firstLine="567"/>
        <w:jc w:val="both"/>
      </w:pPr>
      <w:r>
        <w:rPr>
          <w:rFonts w:ascii="Arial" w:cs="Arial" w:eastAsia="Arial" w:hAnsi="Arial"/>
          <w:sz w:val="24"/>
          <w:szCs w:val="24"/>
        </w:rPr>
        <w:t xml:space="preserve">7) лицам с ограниченными возможностями здоровья с детства III группы - 5400 (пять тысяч четыреста) сомов;</w:t>
      </w:r>
    </w:p>
    <w:p>
      <w:pPr>
        <w:spacing w:after="60"/>
        <w:ind w:firstLine="567"/>
        <w:jc w:val="both"/>
      </w:pPr>
      <w:r>
        <w:rPr>
          <w:rFonts w:ascii="Arial" w:cs="Arial" w:eastAsia="Arial" w:hAnsi="Arial"/>
          <w:sz w:val="24"/>
          <w:szCs w:val="24"/>
        </w:rPr>
        <w:t xml:space="preserve">8) лицам с ограниченными возможностями здоровья I группы - 5500 (пять тысяч пятьсот) сомов;</w:t>
      </w:r>
    </w:p>
    <w:p>
      <w:pPr>
        <w:spacing w:after="60"/>
        <w:ind w:firstLine="567"/>
        <w:jc w:val="both"/>
      </w:pPr>
      <w:r>
        <w:rPr>
          <w:rFonts w:ascii="Arial" w:cs="Arial" w:eastAsia="Arial" w:hAnsi="Arial"/>
          <w:sz w:val="24"/>
          <w:szCs w:val="24"/>
        </w:rPr>
        <w:t xml:space="preserve">9) лицам с ограниченными возможностями здоровья II группы - 3000 (три тысячи) сомов;</w:t>
      </w:r>
    </w:p>
    <w:p>
      <w:pPr>
        <w:spacing w:after="60"/>
        <w:ind w:firstLine="567"/>
        <w:jc w:val="both"/>
      </w:pPr>
      <w:r>
        <w:rPr>
          <w:rFonts w:ascii="Arial" w:cs="Arial" w:eastAsia="Arial" w:hAnsi="Arial"/>
          <w:sz w:val="24"/>
          <w:szCs w:val="24"/>
        </w:rPr>
        <w:t xml:space="preserve">10) лицам с ограниченными возможностями здоровья III группы - 2000 (две тысячи) сомов;</w:t>
      </w:r>
    </w:p>
    <w:p>
      <w:pPr>
        <w:spacing w:after="60"/>
        <w:ind w:firstLine="567"/>
        <w:jc w:val="both"/>
      </w:pPr>
      <w:r>
        <w:rPr>
          <w:rFonts w:ascii="Arial" w:cs="Arial" w:eastAsia="Arial" w:hAnsi="Arial"/>
          <w:sz w:val="24"/>
          <w:szCs w:val="24"/>
        </w:rPr>
        <w:t xml:space="preserve">11) матерям-героиням - 3000 (три тысячи) сомов;</w:t>
      </w:r>
    </w:p>
    <w:p>
      <w:pPr>
        <w:spacing w:after="60"/>
        <w:ind w:firstLine="567"/>
        <w:jc w:val="both"/>
      </w:pPr>
      <w:r>
        <w:rPr>
          <w:rFonts w:ascii="Arial" w:cs="Arial" w:eastAsia="Arial" w:hAnsi="Arial"/>
          <w:sz w:val="24"/>
          <w:szCs w:val="24"/>
        </w:rPr>
        <w:t xml:space="preserve">12) пожилым гражданам - 2000 (две тысячи) сомов;</w:t>
      </w:r>
    </w:p>
    <w:p>
      <w:pPr>
        <w:spacing w:after="60"/>
        <w:ind w:firstLine="567"/>
        <w:jc w:val="both"/>
      </w:pPr>
      <w:r>
        <w:rPr>
          <w:rFonts w:ascii="Arial" w:cs="Arial" w:eastAsia="Arial" w:hAnsi="Arial"/>
          <w:sz w:val="24"/>
          <w:szCs w:val="24"/>
        </w:rPr>
        <w:t xml:space="preserve">13) детям, оба родителя которых неизвестны, - 6000 (шесть тысяч) сомов.</w:t>
      </w:r>
    </w:p>
    <w:p>
      <w:pPr>
        <w:spacing w:after="60"/>
        <w:ind w:firstLine="567"/>
        <w:jc w:val="both"/>
      </w:pPr>
      <w:r>
        <w:rPr>
          <w:rFonts w:ascii="Arial" w:cs="Arial" w:eastAsia="Arial" w:hAnsi="Arial"/>
          <w:b/>
          <w:bCs/>
          <w:sz w:val="24"/>
          <w:szCs w:val="24"/>
        </w:rPr>
        <w:t xml:space="preserve">Так, согласно части 3 </w:t>
      </w:r>
      <w:hyperlink w:history="1" r:id="rIdg3mydjlsrsv1p0dbv4lrq">
        <w:r>
          <w:rPr>
            <w:rFonts w:ascii="Arial" w:cs="Arial" w:eastAsia="Arial" w:hAnsi="Arial"/>
            <w:b/>
            <w:bCs/>
            <w:color w:val="1D4ED8"/>
            <w:sz w:val="24"/>
            <w:szCs w:val="24"/>
            <w:u w:val="single"/>
          </w:rPr>
          <w:t xml:space="preserve">статьи 86</w:t>
        </w:r>
      </w:hyperlink>
      <w:r>
        <w:rPr>
          <w:rFonts w:ascii="Arial" w:cs="Arial" w:eastAsia="Arial" w:hAnsi="Arial"/>
          <w:b/>
          <w:bCs/>
          <w:sz w:val="24"/>
          <w:szCs w:val="24"/>
        </w:rPr>
        <w:t xml:space="preserve"> Конституции Кыргызской Республики проекты законов, предусматривающие увеличение расходов, покрываемых за счет государственного бюджета, принимаются Жогорку Кенешем после определения Кабинетом Министров Кыргызской Республики источника финансирования.</w:t>
      </w:r>
    </w:p>
    <w:p>
      <w:pPr>
        <w:spacing w:after="60"/>
        <w:ind w:firstLine="567"/>
        <w:jc w:val="both"/>
      </w:pPr>
      <w:r>
        <w:rPr>
          <w:rFonts w:ascii="Arial" w:cs="Arial" w:eastAsia="Arial" w:hAnsi="Arial"/>
          <w:sz w:val="24"/>
          <w:szCs w:val="24"/>
        </w:rPr>
        <w:t xml:space="preserve">Исходя из конституционных норм предоставление социальных выплат производится с учетом социально-экономического развития страны и реальных экономических возможностей государства.</w:t>
      </w:r>
    </w:p>
    <w:p>
      <w:pPr>
        <w:spacing w:after="60"/>
        <w:ind w:firstLine="567"/>
        <w:jc w:val="both"/>
      </w:pPr>
      <w:r>
        <w:rPr>
          <w:rFonts w:ascii="Arial" w:cs="Arial" w:eastAsia="Arial" w:hAnsi="Arial"/>
          <w:sz w:val="24"/>
          <w:szCs w:val="24"/>
        </w:rPr>
        <w:t xml:space="preserve">Так, с 1 июня 2022 года пересмотрены размеры следующих видов государственных выплат:</w:t>
      </w:r>
    </w:p>
    <w:p>
      <w:pPr>
        <w:spacing w:after="60"/>
        <w:ind w:firstLine="567"/>
        <w:jc w:val="both"/>
      </w:pPr>
      <w:r>
        <w:rPr>
          <w:rFonts w:ascii="Arial" w:cs="Arial" w:eastAsia="Arial" w:hAnsi="Arial"/>
          <w:sz w:val="24"/>
          <w:szCs w:val="24"/>
        </w:rPr>
        <w:t xml:space="preserve">- ежемесячное пособие нуждающимся гражданам (семьям), имеющим детей до 16 лет, "уй-булого комок" - с 810 сомов до 1200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 группы - с 2500 сомов до 5500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II группы - с 2000 сомов до 3000 сомов;</w:t>
      </w:r>
    </w:p>
    <w:p>
      <w:pPr>
        <w:spacing w:after="60"/>
        <w:ind w:firstLine="567"/>
        <w:jc w:val="both"/>
      </w:pPr>
      <w:r>
        <w:rPr>
          <w:rFonts w:ascii="Arial" w:cs="Arial" w:eastAsia="Arial" w:hAnsi="Arial"/>
          <w:sz w:val="24"/>
          <w:szCs w:val="24"/>
        </w:rPr>
        <w:t xml:space="preserve">- ежемесячное социальное пособие лицам с ограниченными возможностями здоровья от общего заболевания III группы - с 1500 сомов до 2000 сомов;</w:t>
      </w:r>
    </w:p>
    <w:p>
      <w:pPr>
        <w:spacing w:after="60"/>
        <w:ind w:firstLine="567"/>
        <w:jc w:val="both"/>
      </w:pPr>
      <w:r>
        <w:rPr>
          <w:rFonts w:ascii="Arial" w:cs="Arial" w:eastAsia="Arial" w:hAnsi="Arial"/>
          <w:sz w:val="24"/>
          <w:szCs w:val="24"/>
        </w:rPr>
        <w:t xml:space="preserve">- ежемесячное социальное пособие детям в случае потери одного родителя - с 2000 сомов до 3000 сомов;</w:t>
      </w:r>
    </w:p>
    <w:p>
      <w:pPr>
        <w:spacing w:after="60"/>
        <w:ind w:firstLine="567"/>
        <w:jc w:val="both"/>
      </w:pPr>
      <w:r>
        <w:rPr>
          <w:rFonts w:ascii="Arial" w:cs="Arial" w:eastAsia="Arial" w:hAnsi="Arial"/>
          <w:sz w:val="24"/>
          <w:szCs w:val="24"/>
        </w:rPr>
        <w:t xml:space="preserve">- ежемесячное социальное пособие матерям-героиням - с 2500 сомов до 3000 сомов;</w:t>
      </w:r>
    </w:p>
    <w:p>
      <w:pPr>
        <w:spacing w:after="60"/>
        <w:ind w:firstLine="567"/>
        <w:jc w:val="both"/>
      </w:pPr>
      <w:r>
        <w:rPr>
          <w:rFonts w:ascii="Arial" w:cs="Arial" w:eastAsia="Arial" w:hAnsi="Arial"/>
          <w:sz w:val="24"/>
          <w:szCs w:val="24"/>
        </w:rPr>
        <w:t xml:space="preserve">- ежемесячное социальное пособие пожилым гражданам - с 1500 сомов до 2000 сомов (</w:t>
      </w:r>
      <w:hyperlink w:history="1" r:id="rId8e_rwlkzenit35efwfb4x">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усилении государственной поддержки отдельным категориям уязвимых слоев населения" от 14 мая 2022 года № 153).</w:t>
      </w:r>
    </w:p>
    <w:p>
      <w:pPr>
        <w:spacing w:after="60"/>
        <w:ind w:firstLine="567"/>
        <w:jc w:val="both"/>
      </w:pPr>
      <w:r>
        <w:rPr>
          <w:rFonts w:ascii="Arial" w:cs="Arial" w:eastAsia="Arial" w:hAnsi="Arial"/>
          <w:sz w:val="24"/>
          <w:szCs w:val="24"/>
        </w:rPr>
        <w:t xml:space="preserve">Помимо вышеизложенного отмечаем, что в соответствии со </w:t>
      </w:r>
      <w:hyperlink w:history="1" r:id="rIdhv3fmgsxdpwgb1n5pv_zz">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Закона Кыргызской Республики "О гарантированных государственных минимальных социальных стандартах" прожиточный минимум предназначается для:</w:t>
      </w:r>
    </w:p>
    <w:p>
      <w:pPr>
        <w:spacing w:after="60"/>
        <w:ind w:firstLine="567"/>
        <w:jc w:val="both"/>
      </w:pPr>
      <w:r>
        <w:rPr>
          <w:rFonts w:ascii="Arial" w:cs="Arial" w:eastAsia="Arial" w:hAnsi="Arial"/>
          <w:sz w:val="24"/>
          <w:szCs w:val="24"/>
        </w:rPr>
        <w:t xml:space="preserve">- определения направлений социальной политики и осуществления мер по социальной поддержке населения;</w:t>
      </w:r>
    </w:p>
    <w:p>
      <w:pPr>
        <w:spacing w:after="60"/>
        <w:ind w:firstLine="567"/>
        <w:jc w:val="both"/>
      </w:pPr>
      <w:r>
        <w:rPr>
          <w:rFonts w:ascii="Arial" w:cs="Arial" w:eastAsia="Arial" w:hAnsi="Arial"/>
          <w:sz w:val="24"/>
          <w:szCs w:val="24"/>
        </w:rPr>
        <w:t xml:space="preserve">- анализа и прогнозирования уровня жизни населения;</w:t>
      </w:r>
    </w:p>
    <w:p>
      <w:pPr>
        <w:spacing w:after="60"/>
        <w:ind w:firstLine="567"/>
        <w:jc w:val="both"/>
      </w:pPr>
      <w:r>
        <w:rPr>
          <w:rFonts w:ascii="Arial" w:cs="Arial" w:eastAsia="Arial" w:hAnsi="Arial"/>
          <w:sz w:val="24"/>
          <w:szCs w:val="24"/>
        </w:rPr>
        <w:t xml:space="preserve">- обоснования минимальных государственных трудовых гарантий.</w:t>
      </w:r>
    </w:p>
    <w:p>
      <w:pPr>
        <w:spacing w:after="60"/>
        <w:ind w:firstLine="567"/>
        <w:jc w:val="both"/>
      </w:pPr>
      <w:r>
        <w:rPr>
          <w:rFonts w:ascii="Arial" w:cs="Arial" w:eastAsia="Arial" w:hAnsi="Arial"/>
          <w:sz w:val="24"/>
          <w:szCs w:val="24"/>
        </w:rPr>
        <w:t xml:space="preserve">В зависимости от целевого назначения прожиточный минимум подразделяется на следующие виды:</w:t>
      </w:r>
    </w:p>
    <w:p>
      <w:pPr>
        <w:spacing w:after="60"/>
        <w:ind w:firstLine="567"/>
        <w:jc w:val="both"/>
      </w:pPr>
      <w:r>
        <w:rPr>
          <w:rFonts w:ascii="Arial" w:cs="Arial" w:eastAsia="Arial" w:hAnsi="Arial"/>
          <w:sz w:val="24"/>
          <w:szCs w:val="24"/>
        </w:rPr>
        <w:t xml:space="preserve">- на душу населения;</w:t>
      </w:r>
    </w:p>
    <w:p>
      <w:pPr>
        <w:spacing w:after="60"/>
        <w:ind w:firstLine="567"/>
        <w:jc w:val="both"/>
      </w:pPr>
      <w:r>
        <w:rPr>
          <w:rFonts w:ascii="Arial" w:cs="Arial" w:eastAsia="Arial" w:hAnsi="Arial"/>
          <w:sz w:val="24"/>
          <w:szCs w:val="24"/>
        </w:rPr>
        <w:t xml:space="preserve">- по основным социально-демографическим группам населения (трудоспособное население, пенсионеры, дети по определенным возрастным группам).</w:t>
      </w:r>
    </w:p>
    <w:p>
      <w:pPr>
        <w:spacing w:after="60"/>
        <w:ind w:firstLine="567"/>
        <w:jc w:val="both"/>
      </w:pPr>
      <w:hyperlink w:history="1" r:id="rIdgqv43in0u4k0ptczxijo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структуры прожиточного минимума для основных социально-демографических групп населения Кыргызской Республики" от 6 ноября 2009 года № 694 утверждена методика исчисления величины прожиточного минимума для основных социально-демографических групп населения. Прожиточный минимум исчисляется в целом по республике и регионам Национальным статистическим комитетом Кыргызской Республики ежеквартально.</w:t>
      </w:r>
    </w:p>
    <w:p>
      <w:pPr>
        <w:spacing w:after="60"/>
        <w:ind w:firstLine="567"/>
        <w:jc w:val="both"/>
      </w:pPr>
      <w:r>
        <w:rPr>
          <w:rFonts w:ascii="Arial" w:cs="Arial" w:eastAsia="Arial" w:hAnsi="Arial"/>
          <w:sz w:val="24"/>
          <w:szCs w:val="24"/>
        </w:rPr>
        <w:t xml:space="preserve">Таким образом, </w:t>
      </w:r>
      <w:r>
        <w:rPr>
          <w:rFonts w:ascii="Arial" w:cs="Arial" w:eastAsia="Arial" w:hAnsi="Arial"/>
          <w:b/>
          <w:bCs/>
          <w:sz w:val="24"/>
          <w:szCs w:val="24"/>
        </w:rPr>
        <w:t xml:space="preserve">размер прожиточного минимума не установлен законом,</w:t>
      </w:r>
      <w:r>
        <w:rPr>
          <w:rFonts w:ascii="Arial" w:cs="Arial" w:eastAsia="Arial" w:hAnsi="Arial"/>
          <w:sz w:val="24"/>
          <w:szCs w:val="24"/>
        </w:rPr>
        <w:t xml:space="preserve"> а исчисляется ежеквартально Национальным статистическим комитетом Кыргызской Республики в соответствии с вышеуказанной методикой.</w:t>
      </w:r>
    </w:p>
    <w:p>
      <w:pPr>
        <w:spacing w:after="60"/>
        <w:ind w:firstLine="567"/>
        <w:jc w:val="both"/>
      </w:pPr>
      <w:r>
        <w:rPr>
          <w:rFonts w:ascii="Arial" w:cs="Arial" w:eastAsia="Arial" w:hAnsi="Arial"/>
          <w:sz w:val="24"/>
          <w:szCs w:val="24"/>
        </w:rPr>
        <w:t xml:space="preserve">Согласно данным Национального статистического комитета Кыргызской Республики </w:t>
      </w:r>
      <w:r>
        <w:rPr>
          <w:rFonts w:ascii="Arial" w:cs="Arial" w:eastAsia="Arial" w:hAnsi="Arial"/>
          <w:b/>
          <w:bCs/>
          <w:sz w:val="24"/>
          <w:szCs w:val="24"/>
        </w:rPr>
        <w:t xml:space="preserve">прожиточный минимум на 1 января 2022 года исчислен в размере 7040 сомов.</w:t>
      </w:r>
    </w:p>
    <w:p>
      <w:pPr>
        <w:spacing w:after="60"/>
        <w:ind w:firstLine="567"/>
        <w:jc w:val="both"/>
      </w:pPr>
      <w:r>
        <w:rPr>
          <w:rFonts w:ascii="Arial" w:cs="Arial" w:eastAsia="Arial" w:hAnsi="Arial"/>
          <w:sz w:val="24"/>
          <w:szCs w:val="24"/>
        </w:rPr>
        <w:t xml:space="preserve">Следует отметить, что согласно заключению Министерства финансов Кыргызской Республики в случае назначения и выплаты пособия малообеспеченным семьям, имеющим детей до 16 лет, "уй-булого комок" в размере прожиточного минимума для детей (6150 сомов) получаемая сумма пособия на одну семью составит 19680 сомов в месяц, что достигает уровня средней заработной платы по республике - 75,2 процента, а также превышает среднюю заработную плату работников социальной сферы (образования - 18226 сомов, культуры - 17560 сомов).</w:t>
      </w:r>
    </w:p>
    <w:p>
      <w:pPr>
        <w:spacing w:after="60"/>
        <w:ind w:firstLine="567"/>
        <w:jc w:val="both"/>
      </w:pPr>
      <w:r>
        <w:rPr>
          <w:rFonts w:ascii="Arial" w:cs="Arial" w:eastAsia="Arial" w:hAnsi="Arial"/>
          <w:b/>
          <w:bCs/>
          <w:sz w:val="24"/>
          <w:szCs w:val="24"/>
        </w:rPr>
        <w:t xml:space="preserve">В этой связи отмечаем, что согласно части 5 </w:t>
      </w:r>
      <w:hyperlink w:history="1" r:id="rId0xlo9bnnfipyfiapwf6e6">
        <w:r>
          <w:rPr>
            <w:rFonts w:ascii="Arial" w:cs="Arial" w:eastAsia="Arial" w:hAnsi="Arial"/>
            <w:b/>
            <w:bCs/>
            <w:color w:val="1D4ED8"/>
            <w:sz w:val="24"/>
            <w:szCs w:val="24"/>
            <w:u w:val="single"/>
          </w:rPr>
          <w:t xml:space="preserve">статьи 44</w:t>
        </w:r>
      </w:hyperlink>
      <w:r>
        <w:rPr>
          <w:rFonts w:ascii="Arial" w:cs="Arial" w:eastAsia="Arial" w:hAnsi="Arial"/>
          <w:b/>
          <w:bCs/>
          <w:sz w:val="24"/>
          <w:szCs w:val="24"/>
        </w:rPr>
        <w:t xml:space="preserve"> Конституции Кыргызской Республики социальная деятельность государства не должна принимать форму государственного попечительства, ограничивающего экономическую свободу, активность и возможности гражданина самому достигать экономического благополучия для себя и своей семьи.</w:t>
      </w:r>
    </w:p>
    <w:p>
      <w:pPr>
        <w:spacing w:after="60"/>
        <w:ind w:firstLine="567"/>
        <w:jc w:val="both"/>
      </w:pPr>
      <w:r>
        <w:rPr>
          <w:rFonts w:ascii="Arial" w:cs="Arial" w:eastAsia="Arial" w:hAnsi="Arial"/>
          <w:sz w:val="24"/>
          <w:szCs w:val="24"/>
        </w:rPr>
        <w:t xml:space="preserve">В порядке информации отмечаем, что по предварительным расчетам Министерства труда, социального обеспечения и миграции Кыргызской Республики </w:t>
      </w:r>
      <w:r>
        <w:rPr>
          <w:rFonts w:ascii="Arial" w:cs="Arial" w:eastAsia="Arial" w:hAnsi="Arial"/>
          <w:b/>
          <w:bCs/>
          <w:sz w:val="24"/>
          <w:szCs w:val="24"/>
        </w:rPr>
        <w:t xml:space="preserve">на выплату государственных пособий и иной социальной помощи на уровне прожиточного минимума дополнительно потребуется 30,2 млрд. сомов,</w:t>
      </w:r>
      <w:r>
        <w:rPr>
          <w:rFonts w:ascii="Arial" w:cs="Arial" w:eastAsia="Arial" w:hAnsi="Arial"/>
          <w:sz w:val="24"/>
          <w:szCs w:val="24"/>
        </w:rPr>
        <w:t xml:space="preserve"> в том числе:</w:t>
      </w:r>
    </w:p>
    <w:p>
      <w:pPr>
        <w:spacing w:after="60"/>
        <w:ind w:firstLine="567"/>
        <w:jc w:val="both"/>
      </w:pPr>
      <w:r>
        <w:rPr>
          <w:rFonts w:ascii="Arial" w:cs="Arial" w:eastAsia="Arial" w:hAnsi="Arial"/>
          <w:sz w:val="24"/>
          <w:szCs w:val="24"/>
        </w:rPr>
        <w:t xml:space="preserve">- на выплату пособия малообеспеченным семьям, имеющим детей до 16 лет, "уй-булого комок" - 26,8 млрд. сомов;</w:t>
      </w:r>
    </w:p>
    <w:p>
      <w:pPr>
        <w:spacing w:after="60"/>
        <w:ind w:firstLine="567"/>
        <w:jc w:val="both"/>
      </w:pPr>
      <w:r>
        <w:rPr>
          <w:rFonts w:ascii="Arial" w:cs="Arial" w:eastAsia="Arial" w:hAnsi="Arial"/>
          <w:sz w:val="24"/>
          <w:szCs w:val="24"/>
        </w:rPr>
        <w:t xml:space="preserve">- на выплату денежной компенсации - 2,0 млрд. сомов;</w:t>
      </w:r>
    </w:p>
    <w:p>
      <w:pPr>
        <w:spacing w:after="60"/>
        <w:ind w:firstLine="567"/>
        <w:jc w:val="both"/>
      </w:pPr>
      <w:r>
        <w:rPr>
          <w:rFonts w:ascii="Arial" w:cs="Arial" w:eastAsia="Arial" w:hAnsi="Arial"/>
          <w:sz w:val="24"/>
          <w:szCs w:val="24"/>
        </w:rPr>
        <w:t xml:space="preserve">- на выплату ежемесячного социального пособия - 1,3 млрд. сомов;</w:t>
      </w:r>
    </w:p>
    <w:p>
      <w:pPr>
        <w:spacing w:after="60"/>
        <w:ind w:firstLine="567"/>
        <w:jc w:val="both"/>
      </w:pPr>
      <w:r>
        <w:rPr>
          <w:rFonts w:ascii="Arial" w:cs="Arial" w:eastAsia="Arial" w:hAnsi="Arial"/>
          <w:sz w:val="24"/>
          <w:szCs w:val="24"/>
        </w:rPr>
        <w:t xml:space="preserve">- на выплату пособия по беременности и родам - 102,03 млн. сомов;</w:t>
      </w:r>
    </w:p>
    <w:p>
      <w:pPr>
        <w:spacing w:after="60"/>
        <w:ind w:firstLine="567"/>
        <w:jc w:val="both"/>
      </w:pPr>
      <w:r>
        <w:rPr>
          <w:rFonts w:ascii="Arial" w:cs="Arial" w:eastAsia="Arial" w:hAnsi="Arial"/>
          <w:sz w:val="24"/>
          <w:szCs w:val="24"/>
        </w:rPr>
        <w:t xml:space="preserve">- на выплату ритуального пособия (на погребение) - 14,7 млн. сомов.</w:t>
      </w:r>
    </w:p>
    <w:p>
      <w:pPr>
        <w:spacing w:after="60"/>
        <w:ind w:firstLine="567"/>
        <w:jc w:val="both"/>
      </w:pPr>
      <w:r>
        <w:rPr>
          <w:rFonts w:ascii="Arial" w:cs="Arial" w:eastAsia="Arial" w:hAnsi="Arial"/>
          <w:sz w:val="24"/>
          <w:szCs w:val="24"/>
        </w:rPr>
        <w:t xml:space="preserve">Кроме того, для установления размера базовой части пенсии на уровне 100% прожиточного минимума пенсионера с 1 января 2023 года (6395,22 сомов) дополнительно из средств республиканского бюджета прогнозно потребуется порядка 30,0 млрд. сомов.</w:t>
      </w:r>
    </w:p>
    <w:p>
      <w:pPr>
        <w:spacing w:after="60"/>
        <w:ind w:firstLine="567"/>
        <w:jc w:val="both"/>
      </w:pPr>
      <w:r>
        <w:rPr>
          <w:rFonts w:ascii="Arial" w:cs="Arial" w:eastAsia="Arial" w:hAnsi="Arial"/>
          <w:sz w:val="24"/>
          <w:szCs w:val="24"/>
        </w:rPr>
        <w:t xml:space="preserve">Таким образом, для реализации части 2 </w:t>
      </w:r>
      <w:hyperlink w:history="1" r:id="rIdqxkqzehudms72o7ft6cyv">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 с 1 января 2023 года потребуется всего 60,2 млрд. сомов.</w:t>
      </w:r>
    </w:p>
    <w:p>
      <w:pPr>
        <w:spacing w:after="60"/>
        <w:ind w:firstLine="567"/>
        <w:jc w:val="both"/>
      </w:pPr>
      <w:r>
        <w:rPr>
          <w:rFonts w:ascii="Arial" w:cs="Arial" w:eastAsia="Arial" w:hAnsi="Arial"/>
          <w:sz w:val="24"/>
          <w:szCs w:val="24"/>
        </w:rPr>
        <w:t xml:space="preserve">На основании вышеизложенного, руководствуясь частью 2 </w:t>
      </w:r>
      <w:hyperlink w:history="1" r:id="rIdkiwb7qxrohxmrrnu1quwj">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пунктом 5 части 1 </w:t>
      </w:r>
      <w:hyperlink w:history="1" r:id="rIditrridc_nks2i-gync1pu">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w:t>
      </w:r>
      <w:hyperlink w:history="1" r:id="rIdaak2aytjjqa_wvl-dd86h">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конституционного Закона Кыргызской Республики "О Конституционном суде Кыргызской Республики", принимая во внимание часть 3 </w:t>
      </w:r>
      <w:hyperlink w:history="1" r:id="rIdgjjutaygsvawb8ej0954o">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 Конституции Кыргызской Республики", а также то, что обеспечение пенсией, социальным пособием, иной социальной помощью не должно принимать форму государственного попечительства, ограничивающего экономическую свободу, активность и возможности гражданина, </w:t>
      </w:r>
      <w:r>
        <w:rPr>
          <w:rFonts w:ascii="Arial" w:cs="Arial" w:eastAsia="Arial" w:hAnsi="Arial"/>
          <w:b/>
          <w:bCs/>
          <w:sz w:val="24"/>
          <w:szCs w:val="24"/>
        </w:rPr>
        <w:t xml:space="preserve">Кабинет Министров Кыргызской Республики просит:</w:t>
      </w:r>
    </w:p>
    <w:p>
      <w:pPr>
        <w:spacing w:after="60"/>
        <w:ind w:firstLine="567"/>
        <w:jc w:val="both"/>
      </w:pPr>
      <w:r>
        <w:rPr>
          <w:rFonts w:ascii="Arial" w:cs="Arial" w:eastAsia="Arial" w:hAnsi="Arial"/>
          <w:sz w:val="24"/>
          <w:szCs w:val="24"/>
        </w:rPr>
        <w:t xml:space="preserve">о даче официального толкования части 2 </w:t>
      </w:r>
      <w:hyperlink w:history="1" r:id="rIdab3pir_i9ytyht0o0voja">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Конституции Кыргызской Республики, следует ли понимать норму о том, что пенсия, социальное пособие и другая социальная помощь должны обеспечивать уровень жизни не ниже прожиточного минимума, исходя из экономических возможностей государства, в соответствии с положениями </w:t>
      </w:r>
      <w:hyperlink w:history="1" r:id="rIdoki28kklqc-mlldfihpap">
        <w:r>
          <w:rPr>
            <w:rFonts w:ascii="Arial" w:cs="Arial" w:eastAsia="Arial" w:hAnsi="Arial"/>
            <w:color w:val="1D4ED8"/>
            <w:sz w:val="24"/>
            <w:szCs w:val="24"/>
            <w:u w:val="single"/>
          </w:rPr>
          <w:t xml:space="preserve">Международного пакта</w:t>
        </w:r>
      </w:hyperlink>
      <w:r>
        <w:rPr>
          <w:rFonts w:ascii="Arial" w:cs="Arial" w:eastAsia="Arial" w:hAnsi="Arial"/>
          <w:sz w:val="24"/>
          <w:szCs w:val="24"/>
        </w:rPr>
        <w:t xml:space="preserve"> об экономических, социальных и культурных правах, принятого Резолюцией 2200 А (XXI) Генеральной Ассамблеи ООН от 16 декабря 1966 года (Кыргызская Республика присоединилась в соответствии с </w:t>
      </w:r>
      <w:hyperlink w:history="1" r:id="rId9ovb7wom-5yai7wh9egm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12 января 1994 года № 1406-XII).</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kj4ct4wznsryjwfr-o8">
      <w:r>
        <w:rPr>
          <w:rFonts w:ascii="Arial" w:cs="Arial" w:eastAsia="Arial" w:hAnsi="Arial"/>
          <w:color w:val="132D3F"/>
          <w:sz w:val="16"/>
          <w:szCs w:val="16"/>
          <w:u w:val="single"/>
        </w:rPr>
        <w:t xml:space="preserve">dalil.kg/document/219449</w:t>
      </w:r>
    </w:hyperlink>
  </w:p>
  <w:p>
    <w:pPr>
      <w:spacing w:after="0" w:before="40"/>
      <w:jc w:val="center"/>
    </w:pPr>
    <w:hyperlink w:history="1" r:id="rIdxywrebjmceuubmo_v-nm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il803pd3-qvz9c9yf0u" Type="http://schemas.openxmlformats.org/officeDocument/2006/relationships/hyperlink" Target="https://dalil.kg/document/112213" TargetMode="External"/><Relationship Id="rIdntkhwwkv85pggqghrkq24" Type="http://schemas.openxmlformats.org/officeDocument/2006/relationships/hyperlink" Target="https://dalil.kg/document/112213#st_91" TargetMode="External"/><Relationship Id="rIdg-xh41f-xphtkqg1etnud" Type="http://schemas.openxmlformats.org/officeDocument/2006/relationships/hyperlink" Target="https://dalil.kg/document/112213#st_97" TargetMode="External"/><Relationship Id="rIdxeeeq9mag6p1nixa00ljk" Type="http://schemas.openxmlformats.org/officeDocument/2006/relationships/hyperlink" Target="https://dalil.kg/document/219449#pr" TargetMode="External"/><Relationship Id="rIdvckvpulfm_ph1wbukj3jt" Type="http://schemas.openxmlformats.org/officeDocument/2006/relationships/hyperlink" Target="https://dalil.kg/document/112213#st_44" TargetMode="External"/><Relationship Id="rId1agwjdraqa8z5gme5gmyv" Type="http://schemas.openxmlformats.org/officeDocument/2006/relationships/hyperlink" Target="https://dalil.kg/document/112318#st_26" TargetMode="External"/><Relationship Id="rIdqlgmtulk9maufyexz-4-q" Type="http://schemas.openxmlformats.org/officeDocument/2006/relationships/hyperlink" Target="https://dalil.kg/document/112213#st_44" TargetMode="External"/><Relationship Id="rId5j3scw-wvkpnigqmiul0s" Type="http://schemas.openxmlformats.org/officeDocument/2006/relationships/hyperlink" Target="https://dalil.kg/document/112213#st_44" TargetMode="External"/><Relationship Id="rIdmjrbdyzzf9dvtacdl2dcn" Type="http://schemas.openxmlformats.org/officeDocument/2006/relationships/hyperlink" Target="https://dalil.kg/document/202591#st_31" TargetMode="External"/><Relationship Id="rIdltyssaegdwfdvluwdwqix" Type="http://schemas.openxmlformats.org/officeDocument/2006/relationships/hyperlink" Target="https://dalil.kg/document/17534#st_22" TargetMode="External"/><Relationship Id="rId4qx6jxc2vejpbkc75mun1" Type="http://schemas.openxmlformats.org/officeDocument/2006/relationships/hyperlink" Target="https://dalil.kg/document/17580#st_2" TargetMode="External"/><Relationship Id="rId5fuwyie20fb13jwjsmjxl" Type="http://schemas.openxmlformats.org/officeDocument/2006/relationships/hyperlink" Target="https://dalil.kg/document/50679" TargetMode="External"/><Relationship Id="rIdmkjodxref2tlul08z6r4y" Type="http://schemas.openxmlformats.org/officeDocument/2006/relationships/hyperlink" Target="https://dalil.kg/document/557#st_3" TargetMode="External"/><Relationship Id="rIdeklxfgxgxwwp1lrb5ynln" Type="http://schemas.openxmlformats.org/officeDocument/2006/relationships/hyperlink" Target="https://dalil.kg/document/557" TargetMode="External"/><Relationship Id="rIdgtg42aytid7w3t3ivnaeq" Type="http://schemas.openxmlformats.org/officeDocument/2006/relationships/hyperlink" Target="https://dalil.kg/document/557#st_9" TargetMode="External"/><Relationship Id="rIdpoaxvj7rlznpivxizqvl7" Type="http://schemas.openxmlformats.org/officeDocument/2006/relationships/hyperlink" Target="https://dalil.kg/document/557#st_9" TargetMode="External"/><Relationship Id="rIdfqvdhy0z6i6ibdm7zyh7r" Type="http://schemas.openxmlformats.org/officeDocument/2006/relationships/hyperlink" Target="https://dalil.kg/document/557#st_18" TargetMode="External"/><Relationship Id="rIdsorqsej3a8iptu8f-lepo" Type="http://schemas.openxmlformats.org/officeDocument/2006/relationships/hyperlink" Target="https://dalil.kg/document/159445" TargetMode="External"/><Relationship Id="rId1pwapbfiolrxlgn-awx7l" Type="http://schemas.openxmlformats.org/officeDocument/2006/relationships/hyperlink" Target="https://dalil.kg/document/158801" TargetMode="External"/><Relationship Id="rIdrw8rr4p_duw5o6lfvcmz9" Type="http://schemas.openxmlformats.org/officeDocument/2006/relationships/hyperlink" Target="https://dalil.kg/document/557#st_7" TargetMode="External"/><Relationship Id="rId5gkdha2g4ikdkrgolqjyx" Type="http://schemas.openxmlformats.org/officeDocument/2006/relationships/hyperlink" Target="https://dalil.kg/document/159580" TargetMode="External"/><Relationship Id="rIdoeji3kspqpiar_pv9ncpk" Type="http://schemas.openxmlformats.org/officeDocument/2006/relationships/hyperlink" Target="https://dalil.kg/document/111670#st_5" TargetMode="External"/><Relationship Id="rIdcrql6msgnzal492rlta0b" Type="http://schemas.openxmlformats.org/officeDocument/2006/relationships/hyperlink" Target="https://dalil.kg/document/12229" TargetMode="External"/><Relationship Id="rIdga0x6or0yp9miqlxmbzcq" Type="http://schemas.openxmlformats.org/officeDocument/2006/relationships/hyperlink" Target="https://dalil.kg/document/111670" TargetMode="External"/><Relationship Id="rIdg3mydjlsrsv1p0dbv4lrq" Type="http://schemas.openxmlformats.org/officeDocument/2006/relationships/hyperlink" Target="https://dalil.kg/document/112213#st_86" TargetMode="External"/><Relationship Id="rId8e_rwlkzenit35efwfb4x" Type="http://schemas.openxmlformats.org/officeDocument/2006/relationships/hyperlink" Target="https://dalil.kg/document/430935" TargetMode="External"/><Relationship Id="rIdhv3fmgsxdpwgb1n5pv_zz" Type="http://schemas.openxmlformats.org/officeDocument/2006/relationships/hyperlink" Target="https://dalil.kg/document/202576#st_17" TargetMode="External"/><Relationship Id="rIdgqv43in0u4k0ptczxijon" Type="http://schemas.openxmlformats.org/officeDocument/2006/relationships/hyperlink" Target="https://dalil.kg/document/90333" TargetMode="External"/><Relationship Id="rId0xlo9bnnfipyfiapwf6e6" Type="http://schemas.openxmlformats.org/officeDocument/2006/relationships/hyperlink" Target="https://dalil.kg/document/112213#st_44" TargetMode="External"/><Relationship Id="rIdqxkqzehudms72o7ft6cyv" Type="http://schemas.openxmlformats.org/officeDocument/2006/relationships/hyperlink" Target="https://dalil.kg/document/112213#st_44" TargetMode="External"/><Relationship Id="rIdkiwb7qxrohxmrrnu1quwj" Type="http://schemas.openxmlformats.org/officeDocument/2006/relationships/hyperlink" Target="https://dalil.kg/document/112213#st_97" TargetMode="External"/><Relationship Id="rIditrridc_nks2i-gync1pu" Type="http://schemas.openxmlformats.org/officeDocument/2006/relationships/hyperlink" Target="https://dalil.kg/document/112318#st_19" TargetMode="External"/><Relationship Id="rIdaak2aytjjqa_wvl-dd86h" Type="http://schemas.openxmlformats.org/officeDocument/2006/relationships/hyperlink" Target="https://dalil.kg/document/112213#st_20" TargetMode="External"/><Relationship Id="rIdgjjutaygsvawb8ej0954o" Type="http://schemas.openxmlformats.org/officeDocument/2006/relationships/hyperlink" Target="https://dalil.kg/document/112215#st_2" TargetMode="External"/><Relationship Id="rIdab3pir_i9ytyht0o0voja" Type="http://schemas.openxmlformats.org/officeDocument/2006/relationships/hyperlink" Target="https://dalil.kg/document/112213#st_44" TargetMode="External"/><Relationship Id="rIdoki28kklqc-mlldfihpap" Type="http://schemas.openxmlformats.org/officeDocument/2006/relationships/hyperlink" Target="https://dalil.kg/document/17580" TargetMode="External"/><Relationship Id="rId9ovb7wom-5yai7wh9egmp" Type="http://schemas.openxmlformats.org/officeDocument/2006/relationships/hyperlink" Target="https://dalil.kg/document/50679" TargetMode="External"/><Relationship Id="rId8" Type="http://schemas.openxmlformats.org/officeDocument/2006/relationships/image" Target="media/8de64316e95979c063c17bcd5380dc052a2594e9.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kj4ct4wznsryjwfr-o8" Type="http://schemas.openxmlformats.org/officeDocument/2006/relationships/hyperlink" Target="https://dalil.kg/document/219449" TargetMode="External"/><Relationship Id="rIdxywrebjmceuubmo_v-nm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2026-09-28T19:25:55.198Z</dcterms:created>
  <dcterms:modified xsi:type="dcterms:W3CDTF">2026-09-28T19:25:55.198Z</dcterms:modified>
</cp:coreProperties>
</file>

<file path=docProps/custom.xml><?xml version="1.0" encoding="utf-8"?>
<Properties xmlns="http://schemas.openxmlformats.org/officeDocument/2006/custom-properties" xmlns:vt="http://schemas.openxmlformats.org/officeDocument/2006/docPropsVTypes"/>
</file>