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РАСПОРЯЖЕНИЕ ПРЕДСЕДАТЕЛЯ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14 июня 2023 года № 284</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hyperlink w:history="1" r:id="rIdomb9gjxcwr7porkoqlib9">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ome1tgbfdlbx7-ynbnoh0">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w:t>
      </w:r>
      <w:hyperlink w:history="1" r:id="rId5jlrvnegm7moc7x7yqmks">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к проекту Закона Кыргызской Республики "Об отходах производства и потребления", инициированному депутатом Жогорку Кенеша Кыргызской Республики М.А.Маматалиевым, согласно приложению.</w:t>
      </w:r>
    </w:p>
    <w:p>
      <w:pPr>
        <w:spacing w:after="120"/>
        <w:jc w:val="both"/>
      </w:pPr>
      <w:r>
        <w:rPr>
          <w:rFonts w:ascii="Arial" w:cs="Arial" w:eastAsia="Arial" w:hAnsi="Arial"/>
          <w:sz w:val="24"/>
          <w:szCs w:val="24"/>
        </w:rPr>
        <w:t xml:space="preserve">2. Направить прилагаемое заключение Кабинета Министров Кыргызской Республики в Жогорку Кенеш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hyperlink w:history="1" r:id="rIdwyc_r265x08axvrlq4f_g">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Председателя Кабинета Министров Кыргызской Республики</w:t>
      </w:r>
      <w:r>
        <w:rPr>
          <w:rFonts w:ascii="Arial" w:cs="Arial" w:eastAsia="Arial" w:hAnsi="Arial"/>
          <w:i/>
          <w:iCs/>
          <w:sz w:val="24"/>
          <w:szCs w:val="24"/>
        </w:rPr>
        <w:t xml:space="preserve">от 14 июня 2023 года № 284</w:t>
      </w:r>
    </w:p>
    <w:p>
      <w:pPr>
        <w:spacing w:after="400" w:before="400"/>
        <w:jc w:val="center"/>
      </w:pPr>
      <w:r>
        <w:rPr>
          <w:rFonts w:ascii="Arial" w:cs="Arial" w:eastAsia="Arial" w:hAnsi="Arial"/>
          <w:b/>
          <w:bCs/>
          <w:sz w:val="28"/>
          <w:szCs w:val="28"/>
        </w:rPr>
        <w:t xml:space="preserve">ЗАКЛЮЧЕНИЕ</w:t>
      </w:r>
      <w:r>
        <w:rPr>
          <w:rFonts w:ascii="Arial" w:cs="Arial" w:eastAsia="Arial" w:hAnsi="Arial"/>
          <w:b/>
          <w:bCs/>
          <w:sz w:val="28"/>
          <w:szCs w:val="28"/>
        </w:rPr>
        <w:t xml:space="preserve">Кабинета Министров Кыргызской Республики к проекту Закона Кыргызской Республики "Об отходах производства и потребления"</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hyperlink w:history="1" r:id="rIdejreefcaafwt5e1hevh9y">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рассмотрев проект Закона Кыргызской Республики "Об отходах производства и потребления" (далее - проект Закона), инициированный депутатом Жогорку Кенеша Кыргызской Республики М.А.Маматалиевым, приходит к следующему заключению:</w:t>
      </w:r>
    </w:p>
    <w:p>
      <w:pPr>
        <w:spacing w:after="60"/>
        <w:ind w:firstLine="567"/>
        <w:jc w:val="both"/>
      </w:pPr>
      <w:r>
        <w:rPr>
          <w:rFonts w:ascii="Arial" w:cs="Arial" w:eastAsia="Arial" w:hAnsi="Arial"/>
          <w:sz w:val="24"/>
          <w:szCs w:val="24"/>
        </w:rPr>
        <w:t xml:space="preserve">1. Согласно части 2 </w:t>
      </w:r>
      <w:hyperlink w:history="1" r:id="rIdbvdqbdfhzg9tt420oed2s">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w:t>
      </w:r>
    </w:p>
    <w:p>
      <w:pPr>
        <w:spacing w:after="60"/>
        <w:ind w:firstLine="567"/>
        <w:jc w:val="both"/>
      </w:pPr>
      <w:r>
        <w:rPr>
          <w:rFonts w:ascii="Arial" w:cs="Arial" w:eastAsia="Arial" w:hAnsi="Arial"/>
          <w:sz w:val="24"/>
          <w:szCs w:val="24"/>
        </w:rPr>
        <w:t xml:space="preserve">При изложении текста нормативного правового акта сначала размещаются общие, а затем конкретные положения. При изложении норм права следует избегать чрезмерно обобщенных либо чрезмерно детализированных формулировок.</w:t>
      </w:r>
    </w:p>
    <w:p>
      <w:pPr>
        <w:spacing w:after="60"/>
        <w:ind w:firstLine="567"/>
        <w:jc w:val="both"/>
      </w:pPr>
      <w:r>
        <w:rPr>
          <w:rFonts w:ascii="Arial" w:cs="Arial" w:eastAsia="Arial" w:hAnsi="Arial"/>
          <w:sz w:val="24"/>
          <w:szCs w:val="24"/>
        </w:rPr>
        <w:t xml:space="preserve">Названия нормативного правового акта, части, раздела, подраздела, главы и статьи должны быть лаконичными, четко сформулированными и отражать их основное содержание. Термины и понятия, используемые в тексте нормативного правового акта, должны быть понятными и однозначными. При необходимости уточнения терминов и понятий, используемых в нормативном правовом акте, в нем помещается статья (пункт), разъясняющая их значение.</w:t>
      </w:r>
    </w:p>
    <w:p>
      <w:pPr>
        <w:spacing w:after="60"/>
        <w:ind w:firstLine="567"/>
        <w:jc w:val="both"/>
      </w:pPr>
      <w:r>
        <w:rPr>
          <w:rFonts w:ascii="Arial" w:cs="Arial" w:eastAsia="Arial" w:hAnsi="Arial"/>
          <w:sz w:val="24"/>
          <w:szCs w:val="24"/>
        </w:rPr>
        <w:t xml:space="preserve">В связи с этим и в целях обеспечения внутренне согласованной и логично построенной структуры, а также исключения дублирующих норм и противоречий с другими нормативными правовыми актами, в статье 1 проекта необходимо предусмотреть четкий предмет регулирования данного Закона, содержащий системное регулирование вопросов отходов производства, потребления, и его границы (другие законодательные акты могут регулировать вопросы отходов производства и потребления в части, не противоречащей данному Закону).</w:t>
      </w:r>
    </w:p>
    <w:p>
      <w:pPr>
        <w:spacing w:after="60"/>
        <w:ind w:firstLine="567"/>
        <w:jc w:val="both"/>
      </w:pPr>
      <w:r>
        <w:rPr>
          <w:rFonts w:ascii="Arial" w:cs="Arial" w:eastAsia="Arial" w:hAnsi="Arial"/>
          <w:sz w:val="24"/>
          <w:szCs w:val="24"/>
        </w:rPr>
        <w:t xml:space="preserve">2. В соответствии с частью 2 </w:t>
      </w:r>
      <w:hyperlink w:history="1" r:id="rIdejhyeeprbmqdputzxxoao">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Гражданского кодекса Кыргызской Республики, отказ граждан и юридических лиц от осуществления принадлежащих им прав не влечет прекращения этих прав, за исключением случаев, предусмотренных законом.</w:t>
      </w:r>
    </w:p>
    <w:p>
      <w:pPr>
        <w:spacing w:after="60"/>
        <w:ind w:firstLine="567"/>
        <w:jc w:val="both"/>
      </w:pPr>
      <w:r>
        <w:rPr>
          <w:rFonts w:ascii="Arial" w:cs="Arial" w:eastAsia="Arial" w:hAnsi="Arial"/>
          <w:sz w:val="24"/>
          <w:szCs w:val="24"/>
        </w:rPr>
        <w:t xml:space="preserve">В связи с чем, часть 2 статьи 4 проекта Закона предлагаем дополнить абзацем следующего содержания:</w:t>
      </w:r>
    </w:p>
    <w:p>
      <w:pPr>
        <w:spacing w:after="60"/>
        <w:ind w:firstLine="567"/>
        <w:jc w:val="both"/>
      </w:pPr>
      <w:r>
        <w:rPr>
          <w:rFonts w:ascii="Arial" w:cs="Arial" w:eastAsia="Arial" w:hAnsi="Arial"/>
          <w:sz w:val="24"/>
          <w:szCs w:val="24"/>
        </w:rPr>
        <w:t xml:space="preserve">"При этом отказ от права собственности на отходы не влечет за собой прекращение прав и обязанностей собственника в отношении этих отходов до момента приобретения права собственности на них другим юридическим или физическим лицом.".</w:t>
      </w:r>
    </w:p>
    <w:p>
      <w:pPr>
        <w:spacing w:after="60"/>
        <w:ind w:firstLine="567"/>
        <w:jc w:val="both"/>
      </w:pPr>
      <w:r>
        <w:rPr>
          <w:rFonts w:ascii="Arial" w:cs="Arial" w:eastAsia="Arial" w:hAnsi="Arial"/>
          <w:sz w:val="24"/>
          <w:szCs w:val="24"/>
        </w:rPr>
        <w:t xml:space="preserve">3. В части 5 статьи 4 проекта Закона предлагается установить, что пользователи земельных участков несут в установленном законом порядке ответственность за образование отходов на своей территории.</w:t>
      </w:r>
    </w:p>
    <w:p>
      <w:pPr>
        <w:spacing w:after="60"/>
        <w:ind w:firstLine="567"/>
        <w:jc w:val="both"/>
      </w:pPr>
      <w:r>
        <w:rPr>
          <w:rFonts w:ascii="Arial" w:cs="Arial" w:eastAsia="Arial" w:hAnsi="Arial"/>
          <w:sz w:val="24"/>
          <w:szCs w:val="24"/>
        </w:rPr>
        <w:t xml:space="preserve">При этом предлагаем уточнить какую именно ответственность несут пользователи земельных участков и в каком нормативном правовом акте предусмотрена такая ответственность.</w:t>
      </w:r>
    </w:p>
    <w:p>
      <w:pPr>
        <w:spacing w:after="60"/>
        <w:ind w:firstLine="567"/>
        <w:jc w:val="both"/>
      </w:pPr>
      <w:r>
        <w:rPr>
          <w:rFonts w:ascii="Arial" w:cs="Arial" w:eastAsia="Arial" w:hAnsi="Arial"/>
          <w:sz w:val="24"/>
          <w:szCs w:val="24"/>
        </w:rPr>
        <w:t xml:space="preserve">4. В статье 5 проекта Закона устанавливаются полномочия местных органов государственной власти.</w:t>
      </w:r>
    </w:p>
    <w:p>
      <w:pPr>
        <w:spacing w:after="60"/>
        <w:ind w:firstLine="567"/>
        <w:jc w:val="both"/>
      </w:pPr>
      <w:r>
        <w:rPr>
          <w:rFonts w:ascii="Arial" w:cs="Arial" w:eastAsia="Arial" w:hAnsi="Arial"/>
          <w:sz w:val="24"/>
          <w:szCs w:val="24"/>
        </w:rPr>
        <w:t xml:space="preserve">Согласно части 2 </w:t>
      </w:r>
      <w:hyperlink w:history="1" r:id="rIdcyyhsgleu4i6vhyy0unug">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местная государственная администрация - подчиненный Президенту Кыргызской Республики и Кабинету Министров Кыргызской Республики государственный орган исполнительной власти, обеспечивающий на соответствующей территории согласованную деятельность территориальных подразделений государственных органов исполнительной власти, их взаимодействие с органами местного самоуправления и осуществляющий государственный контроль за исполнением делегированных государственных полномочий.</w:t>
      </w:r>
    </w:p>
    <w:p>
      <w:pPr>
        <w:spacing w:after="60"/>
        <w:ind w:firstLine="567"/>
        <w:jc w:val="both"/>
      </w:pPr>
      <w:r>
        <w:rPr>
          <w:rFonts w:ascii="Arial" w:cs="Arial" w:eastAsia="Arial" w:hAnsi="Arial"/>
          <w:sz w:val="24"/>
          <w:szCs w:val="24"/>
        </w:rPr>
        <w:t xml:space="preserve">При этом согласно </w:t>
      </w:r>
      <w:hyperlink w:history="1" r:id="rId235zgpf8ebtpmgrr8kkbt">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вышеуказанного Закона местное самоуправление - самостоятельная деятельность местного сообщества в своих интересах и под свою ответственность, направленная на решение вопросов местного значения. Местное самоуправление осуществляется местными сообществами через представительные и исполнительные органы, а также путем непосредственного участия граждан.</w:t>
      </w:r>
    </w:p>
    <w:p>
      <w:pPr>
        <w:spacing w:after="60"/>
        <w:ind w:firstLine="567"/>
        <w:jc w:val="both"/>
      </w:pPr>
      <w:r>
        <w:rPr>
          <w:rFonts w:ascii="Arial" w:cs="Arial" w:eastAsia="Arial" w:hAnsi="Arial"/>
          <w:sz w:val="24"/>
          <w:szCs w:val="24"/>
        </w:rPr>
        <w:t xml:space="preserve">Так в законодательстве Кыргызской Республики не существует понятия "местных органов государственной власти", имеется понятие "местная государственная администрация" и "орган местного самоуправления".</w:t>
      </w:r>
    </w:p>
    <w:p>
      <w:pPr>
        <w:spacing w:after="60"/>
        <w:ind w:firstLine="567"/>
        <w:jc w:val="both"/>
      </w:pPr>
      <w:r>
        <w:rPr>
          <w:rFonts w:ascii="Arial" w:cs="Arial" w:eastAsia="Arial" w:hAnsi="Arial"/>
          <w:sz w:val="24"/>
          <w:szCs w:val="24"/>
        </w:rPr>
        <w:t xml:space="preserve">Кроме этого, следует учесть, что местное самоуправление осуществляется на принципах разграничения функций и полномочий государственных органов и органов местного самоуправления и согласно </w:t>
      </w:r>
      <w:hyperlink w:history="1" r:id="rIdpltxgupdyjdpqn0pwbvaj">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вышеуказанного Закона, органы местного самоуправления осуществляют свою деятельность в соответствии с вопросами местного значения.</w:t>
      </w:r>
    </w:p>
    <w:p>
      <w:pPr>
        <w:spacing w:after="60"/>
        <w:ind w:firstLine="567"/>
        <w:jc w:val="both"/>
      </w:pPr>
      <w:r>
        <w:rPr>
          <w:rFonts w:ascii="Arial" w:cs="Arial" w:eastAsia="Arial" w:hAnsi="Arial"/>
          <w:sz w:val="24"/>
          <w:szCs w:val="24"/>
        </w:rPr>
        <w:t xml:space="preserve">С учетом изложенного предлагаем в проекте Закона полномочия органов местного самоуправления и местной государственной администрации расписать отдельно в соответствии с их функциями и полномочиями.</w:t>
      </w:r>
    </w:p>
    <w:p>
      <w:pPr>
        <w:spacing w:after="60"/>
        <w:ind w:firstLine="567"/>
        <w:jc w:val="both"/>
      </w:pPr>
      <w:r>
        <w:rPr>
          <w:rFonts w:ascii="Arial" w:cs="Arial" w:eastAsia="Arial" w:hAnsi="Arial"/>
          <w:sz w:val="24"/>
          <w:szCs w:val="24"/>
        </w:rPr>
        <w:t xml:space="preserve">5. В абзаце четвертом части 1 статьи 7 проекта Закона предлагается установить обязанность юридических лиц и индивидуальных предпринимателей в виде разработки и утверждения инструкций по обращению с отходами производства, а также обеспечение их соблюдения.</w:t>
      </w:r>
    </w:p>
    <w:p>
      <w:pPr>
        <w:spacing w:after="60"/>
        <w:ind w:firstLine="567"/>
        <w:jc w:val="both"/>
      </w:pPr>
      <w:r>
        <w:rPr>
          <w:rFonts w:ascii="Arial" w:cs="Arial" w:eastAsia="Arial" w:hAnsi="Arial"/>
          <w:sz w:val="24"/>
          <w:szCs w:val="24"/>
        </w:rPr>
        <w:t xml:space="preserve">При этом отмечаем, что в абзаце четвертом статьи 6 проекта Закона установлено, что компетентный орган исполнительной власти в области охраны окружающей среды разрабатывает и утверждает правила и нормы, регламентирующие порядок обращения с отходами и устанавливающие требования к безопасности отходов окружающей среде и здоровью человека.</w:t>
      </w:r>
    </w:p>
    <w:p>
      <w:pPr>
        <w:spacing w:after="60"/>
        <w:ind w:firstLine="567"/>
        <w:jc w:val="both"/>
      </w:pPr>
      <w:r>
        <w:rPr>
          <w:rFonts w:ascii="Arial" w:cs="Arial" w:eastAsia="Arial" w:hAnsi="Arial"/>
          <w:sz w:val="24"/>
          <w:szCs w:val="24"/>
        </w:rPr>
        <w:t xml:space="preserve">В этой связи, абзац четвертый части 1 статьи 7 проекта Закона предлагаем изложить таким образом, чтобы в обязанности юридических лиц и индивидуальных предпринимателей входило соблюдение вышеуказанных правил и норм, утверждаемых компетентным органом исполнительной власти в области охраны окружающей среды.</w:t>
      </w:r>
    </w:p>
    <w:p>
      <w:pPr>
        <w:spacing w:after="60"/>
        <w:ind w:firstLine="567"/>
        <w:jc w:val="both"/>
      </w:pPr>
      <w:r>
        <w:rPr>
          <w:rFonts w:ascii="Arial" w:cs="Arial" w:eastAsia="Arial" w:hAnsi="Arial"/>
          <w:sz w:val="24"/>
          <w:szCs w:val="24"/>
        </w:rPr>
        <w:t xml:space="preserve">6. В абзаце третьем части 3 статьи 7 проекта Закона предлагается установить, что производители отходов производства обязаны обеспечить разработку и утверждение нормативов образования отходов производства, а также их соблюдение.</w:t>
      </w:r>
    </w:p>
    <w:p>
      <w:pPr>
        <w:spacing w:after="60"/>
        <w:ind w:firstLine="567"/>
        <w:jc w:val="both"/>
      </w:pPr>
      <w:r>
        <w:rPr>
          <w:rFonts w:ascii="Arial" w:cs="Arial" w:eastAsia="Arial" w:hAnsi="Arial"/>
          <w:sz w:val="24"/>
          <w:szCs w:val="24"/>
        </w:rPr>
        <w:t xml:space="preserve">При этом предлагаем конкретизировать на основании какого нормативного правового акта производители отходов производства будут разрабатывать и утверждать нормативы образования отходов производства.</w:t>
      </w:r>
    </w:p>
    <w:p>
      <w:pPr>
        <w:spacing w:after="60"/>
        <w:ind w:firstLine="567"/>
        <w:jc w:val="both"/>
      </w:pPr>
      <w:r>
        <w:rPr>
          <w:rFonts w:ascii="Arial" w:cs="Arial" w:eastAsia="Arial" w:hAnsi="Arial"/>
          <w:sz w:val="24"/>
          <w:szCs w:val="24"/>
        </w:rPr>
        <w:t xml:space="preserve">7. В части 3 статьи 12 проекта Закона предлагается установить, что смешивание отходов разных видов при захоронении и (или) обезвреживании отходов допускается при условии соблюдения требования законодательства.</w:t>
      </w:r>
    </w:p>
    <w:p>
      <w:pPr>
        <w:spacing w:after="60"/>
        <w:ind w:firstLine="567"/>
        <w:jc w:val="both"/>
      </w:pPr>
      <w:r>
        <w:rPr>
          <w:rFonts w:ascii="Arial" w:cs="Arial" w:eastAsia="Arial" w:hAnsi="Arial"/>
          <w:sz w:val="24"/>
          <w:szCs w:val="24"/>
        </w:rPr>
        <w:t xml:space="preserve">Отмечаем, что понятие "законодательство" является обобщенным понятием и носит расплывчатый характер, предоставляющим возможность широкой трактовки.</w:t>
      </w:r>
    </w:p>
    <w:p>
      <w:pPr>
        <w:spacing w:after="60"/>
        <w:ind w:firstLine="567"/>
        <w:jc w:val="both"/>
      </w:pPr>
      <w:r>
        <w:rPr>
          <w:rFonts w:ascii="Arial" w:cs="Arial" w:eastAsia="Arial" w:hAnsi="Arial"/>
          <w:sz w:val="24"/>
          <w:szCs w:val="24"/>
        </w:rPr>
        <w:t xml:space="preserve">Также согласно пункту 78 </w:t>
      </w:r>
      <w:hyperlink w:history="1" r:id="rIdvonqcso5kiepwgmdibyo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i4zscer1f8cgqbxaxzys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не допускаются бланкетные ссылки на законодательство в целом.</w:t>
      </w:r>
    </w:p>
    <w:p>
      <w:pPr>
        <w:spacing w:after="60"/>
        <w:ind w:firstLine="567"/>
        <w:jc w:val="both"/>
      </w:pPr>
      <w:r>
        <w:rPr>
          <w:rFonts w:ascii="Arial" w:cs="Arial" w:eastAsia="Arial" w:hAnsi="Arial"/>
          <w:sz w:val="24"/>
          <w:szCs w:val="24"/>
        </w:rPr>
        <w:t xml:space="preserve">В этой связи необходимо проанализировать нормативные правовые акты, на которые идет ссылка в части 3 статьи 12 проекта Закона, и указать на их отрасль или сферу регулирования.</w:t>
      </w:r>
    </w:p>
    <w:p>
      <w:pPr>
        <w:spacing w:after="60"/>
        <w:ind w:firstLine="567"/>
        <w:jc w:val="both"/>
      </w:pPr>
      <w:r>
        <w:rPr>
          <w:rFonts w:ascii="Arial" w:cs="Arial" w:eastAsia="Arial" w:hAnsi="Arial"/>
          <w:sz w:val="24"/>
          <w:szCs w:val="24"/>
        </w:rPr>
        <w:t xml:space="preserve">Аналогично по статьям 7, 13, 14, 23, 24, 33 проекта Закона.</w:t>
      </w:r>
    </w:p>
    <w:p>
      <w:pPr>
        <w:spacing w:after="60"/>
        <w:ind w:firstLine="567"/>
        <w:jc w:val="both"/>
      </w:pPr>
      <w:r>
        <w:rPr>
          <w:rFonts w:ascii="Arial" w:cs="Arial" w:eastAsia="Arial" w:hAnsi="Arial"/>
          <w:sz w:val="24"/>
          <w:szCs w:val="24"/>
        </w:rPr>
        <w:t xml:space="preserve">8. Абзацем третьим части 1 статьи 12 проекта Закона предусматривается, что виды деятельности по переработке и утилизации отходов I-IV классов опасности подлежат лицензированию на основе положительного заключения государственной экологической экспертизы.</w:t>
      </w:r>
    </w:p>
    <w:p>
      <w:pPr>
        <w:spacing w:after="60"/>
        <w:ind w:firstLine="567"/>
        <w:jc w:val="both"/>
      </w:pPr>
      <w:r>
        <w:rPr>
          <w:rFonts w:ascii="Arial" w:cs="Arial" w:eastAsia="Arial" w:hAnsi="Arial"/>
          <w:sz w:val="24"/>
          <w:szCs w:val="24"/>
        </w:rPr>
        <w:t xml:space="preserve">В то же время в соответствии с частью 4 статьи 18 проекта Закона юридические и физические лица, осуществляющие обращение с опасными отходами, обязаны получить лицензию по сбору, транспортированию, переработке, утилизации, обезвреживанию, размещению отходов I-IV классов опасности, на основе положительного заключения государственной экологической экспертизы.</w:t>
      </w:r>
    </w:p>
    <w:p>
      <w:pPr>
        <w:spacing w:after="60"/>
        <w:ind w:firstLine="567"/>
        <w:jc w:val="both"/>
      </w:pPr>
      <w:r>
        <w:rPr>
          <w:rFonts w:ascii="Arial" w:cs="Arial" w:eastAsia="Arial" w:hAnsi="Arial"/>
          <w:sz w:val="24"/>
          <w:szCs w:val="24"/>
        </w:rPr>
        <w:t xml:space="preserve">Также в части 2 статьи 20 проекта Закона предусматривается, что деятельность по транспортировке опасных отходов подлежит лицензированию на основе положительного заключения государственной экологической экспертизы.</w:t>
      </w:r>
    </w:p>
    <w:p>
      <w:pPr>
        <w:spacing w:after="60"/>
        <w:ind w:firstLine="567"/>
        <w:jc w:val="both"/>
      </w:pPr>
      <w:r>
        <w:rPr>
          <w:rFonts w:ascii="Arial" w:cs="Arial" w:eastAsia="Arial" w:hAnsi="Arial"/>
          <w:sz w:val="24"/>
          <w:szCs w:val="24"/>
        </w:rPr>
        <w:t xml:space="preserve">Аналогично, статьей 22 проекта Закона предлагается установить, что деятельность юридических и физических лиц по транспортированию (в том числе трансграничному), переработке, утилизации, обезвреживанию, размещению отходов I-IV классов опасности, подлежит лицензированию в соответствии с </w:t>
      </w:r>
      <w:hyperlink w:history="1" r:id="rId7gqmpfo_ggdlk8knpzpj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В этой связи считаем недопустимым включение в проект Закона дублирующих норм.</w:t>
      </w:r>
    </w:p>
    <w:p>
      <w:pPr>
        <w:spacing w:after="60"/>
        <w:ind w:firstLine="567"/>
        <w:jc w:val="both"/>
      </w:pPr>
      <w:r>
        <w:rPr>
          <w:rFonts w:ascii="Arial" w:cs="Arial" w:eastAsia="Arial" w:hAnsi="Arial"/>
          <w:sz w:val="24"/>
          <w:szCs w:val="24"/>
        </w:rPr>
        <w:t xml:space="preserve">Также необходимо проанализировать положения статей </w:t>
      </w:r>
      <w:hyperlink w:history="1" r:id="rIdna81kdjvnduwzwq9fo-wx">
        <w:r>
          <w:rPr>
            <w:rFonts w:ascii="Arial" w:cs="Arial" w:eastAsia="Arial" w:hAnsi="Arial"/>
            <w:color w:val="1D4ED8"/>
            <w:sz w:val="24"/>
            <w:szCs w:val="24"/>
            <w:u w:val="single"/>
          </w:rPr>
          <w:t xml:space="preserve">15</w:t>
        </w:r>
      </w:hyperlink>
      <w:r>
        <w:rPr>
          <w:rFonts w:ascii="Arial" w:cs="Arial" w:eastAsia="Arial" w:hAnsi="Arial"/>
          <w:sz w:val="24"/>
          <w:szCs w:val="24"/>
        </w:rPr>
        <w:t xml:space="preserve">-</w:t>
      </w:r>
      <w:hyperlink w:history="1" r:id="rId4idrflvlsdhehvocwwaao">
        <w:r>
          <w:rPr>
            <w:rFonts w:ascii="Arial" w:cs="Arial" w:eastAsia="Arial" w:hAnsi="Arial"/>
            <w:color w:val="1D4ED8"/>
            <w:sz w:val="24"/>
            <w:szCs w:val="24"/>
            <w:u w:val="single"/>
          </w:rPr>
          <w:t xml:space="preserve">17</w:t>
        </w:r>
      </w:hyperlink>
      <w:r>
        <w:rPr>
          <w:rFonts w:ascii="Arial" w:cs="Arial" w:eastAsia="Arial" w:hAnsi="Arial"/>
          <w:sz w:val="24"/>
          <w:szCs w:val="24"/>
        </w:rPr>
        <w:t xml:space="preserve"> Закона "О лицензионно-разрешительной деятельности" на предмет полноты регулирования вопросов лицензирования деятельности по транспортированию (в том числе трансграничному), переработке, утилизации, обезвреживанию, размещению отходов I-IV классов опасности.</w:t>
      </w:r>
    </w:p>
    <w:p>
      <w:pPr>
        <w:spacing w:after="60"/>
        <w:ind w:firstLine="567"/>
        <w:jc w:val="both"/>
      </w:pPr>
      <w:r>
        <w:rPr>
          <w:rFonts w:ascii="Arial" w:cs="Arial" w:eastAsia="Arial" w:hAnsi="Arial"/>
          <w:sz w:val="24"/>
          <w:szCs w:val="24"/>
        </w:rPr>
        <w:t xml:space="preserve">В случае необходимости следует внести изменения в вышеуказанный Закон.</w:t>
      </w:r>
    </w:p>
    <w:p>
      <w:pPr>
        <w:spacing w:after="60"/>
        <w:ind w:firstLine="567"/>
        <w:jc w:val="both"/>
      </w:pPr>
      <w:r>
        <w:rPr>
          <w:rFonts w:ascii="Arial" w:cs="Arial" w:eastAsia="Arial" w:hAnsi="Arial"/>
          <w:sz w:val="24"/>
          <w:szCs w:val="24"/>
        </w:rPr>
        <w:t xml:space="preserve">9. В части 2 статьи 19 проекта Закона предлагается установить, что перевозка отходов производства допускается при наличии сопроводительного документа о перевозке отходов производства.</w:t>
      </w:r>
    </w:p>
    <w:p>
      <w:pPr>
        <w:spacing w:after="60"/>
        <w:ind w:firstLine="567"/>
        <w:jc w:val="both"/>
      </w:pPr>
      <w:r>
        <w:rPr>
          <w:rFonts w:ascii="Arial" w:cs="Arial" w:eastAsia="Arial" w:hAnsi="Arial"/>
          <w:sz w:val="24"/>
          <w:szCs w:val="24"/>
        </w:rPr>
        <w:t xml:space="preserve">Также в части 2 вышеуказанной статьи проекта Закона перечислен перечень сведений, которые должны содержаться в сопроводительном документе о перевозке отходов производства, такие как: о производителе перевозимых отходов производства, собственнике перевозимых отходов производства в случае, если он не является их производителем, получателем перевозимых отходов производства, юридическом лице или индивидуальном предпринимателе, осуществляющих перевозку отходов производства, транспортном средстве, на котором осуществляется перевозка отходов производства, упаковке перевозимых отходов производства.</w:t>
      </w:r>
    </w:p>
    <w:p>
      <w:pPr>
        <w:spacing w:after="60"/>
        <w:ind w:firstLine="567"/>
        <w:jc w:val="both"/>
      </w:pPr>
      <w:r>
        <w:rPr>
          <w:rFonts w:ascii="Arial" w:cs="Arial" w:eastAsia="Arial" w:hAnsi="Arial"/>
          <w:sz w:val="24"/>
          <w:szCs w:val="24"/>
        </w:rPr>
        <w:t xml:space="preserve">В соответствии со </w:t>
      </w:r>
      <w:hyperlink w:history="1" r:id="rIdh5b7amew78kpuowvlaijr">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закон - это нормативный правовой акт, принимаемый Жогорку Кенешем в установленном порядке и регулирующий наиболее важные общественные отношения в соответствующей сфере.</w:t>
      </w:r>
    </w:p>
    <w:p>
      <w:pPr>
        <w:spacing w:after="60"/>
        <w:ind w:firstLine="567"/>
        <w:jc w:val="both"/>
      </w:pPr>
      <w:r>
        <w:rPr>
          <w:rFonts w:ascii="Arial" w:cs="Arial" w:eastAsia="Arial" w:hAnsi="Arial"/>
          <w:sz w:val="24"/>
          <w:szCs w:val="24"/>
        </w:rPr>
        <w:t xml:space="preserve">Вместе с тем в части 3 вышеуказанной статьи проекта Закона установлено, что уполномоченный орган исполнительной власти в сфере охраны окружающей среды утверждает форму сопроводительного документа перевозки отходов производства, а также устанавливает порядок его оформления. Ввиду чего часть 2 статьи 19 проекта Закона предлагаем изложить таким образом, чтобы требования и необходимые сведения для сопроводительного документа о перевозке отходов производства утверждались уполномоченным органом исполнительной власти в сфере охраны окружающей среды.</w:t>
      </w:r>
    </w:p>
    <w:p>
      <w:pPr>
        <w:spacing w:after="60"/>
        <w:ind w:firstLine="567"/>
        <w:jc w:val="both"/>
      </w:pPr>
      <w:r>
        <w:rPr>
          <w:rFonts w:ascii="Arial" w:cs="Arial" w:eastAsia="Arial" w:hAnsi="Arial"/>
          <w:sz w:val="24"/>
          <w:szCs w:val="24"/>
        </w:rPr>
        <w:t xml:space="preserve">Соответственно вышеперечисленные необходимые требования для сопроводительного документа необходимо исключить из проекта Закона.</w:t>
      </w:r>
    </w:p>
    <w:p>
      <w:pPr>
        <w:spacing w:after="60"/>
        <w:ind w:firstLine="567"/>
        <w:jc w:val="both"/>
      </w:pPr>
      <w:r>
        <w:rPr>
          <w:rFonts w:ascii="Arial" w:cs="Arial" w:eastAsia="Arial" w:hAnsi="Arial"/>
          <w:sz w:val="24"/>
          <w:szCs w:val="24"/>
        </w:rPr>
        <w:t xml:space="preserve">10. В абзаце шестом части 1 статьи 21 проекта Закона предлагается установить, что к правонарушениям законодательства об отходах производства и потребления относится отсутствие положительного заключения государственной экологической экспертизы на документацию по обращению с отходами.</w:t>
      </w:r>
    </w:p>
    <w:p>
      <w:pPr>
        <w:spacing w:after="60"/>
        <w:ind w:firstLine="567"/>
        <w:jc w:val="both"/>
      </w:pPr>
      <w:r>
        <w:rPr>
          <w:rFonts w:ascii="Arial" w:cs="Arial" w:eastAsia="Arial" w:hAnsi="Arial"/>
          <w:sz w:val="24"/>
          <w:szCs w:val="24"/>
        </w:rPr>
        <w:t xml:space="preserve">При этом </w:t>
      </w:r>
      <w:hyperlink w:history="1" r:id="rIdjrx32lfsvvoecmp6ob7k9">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не содержит какую-либо ответственность за отсутствие экологической экспертизы. Вместе с тем в соответствии со </w:t>
      </w:r>
      <w:hyperlink w:history="1" r:id="rIdl-rzwsixbckjwttcdb-ww">
        <w:r>
          <w:rPr>
            <w:rFonts w:ascii="Arial" w:cs="Arial" w:eastAsia="Arial" w:hAnsi="Arial"/>
            <w:color w:val="1D4ED8"/>
            <w:sz w:val="24"/>
            <w:szCs w:val="24"/>
            <w:u w:val="single"/>
          </w:rPr>
          <w:t xml:space="preserve">статьей 209</w:t>
        </w:r>
      </w:hyperlink>
      <w:r>
        <w:rPr>
          <w:rFonts w:ascii="Arial" w:cs="Arial" w:eastAsia="Arial" w:hAnsi="Arial"/>
          <w:sz w:val="24"/>
          <w:szCs w:val="24"/>
        </w:rPr>
        <w:t xml:space="preserve"> вышеуказанного Кодекса: "невыполнение требований государственной экологической экспертизы - влечет наложение штрафа на физических лиц в размере 55 расчетных показателей, на юридических лиц - 170 расчетных показателей".</w:t>
      </w:r>
    </w:p>
    <w:p>
      <w:pPr>
        <w:spacing w:after="60"/>
        <w:ind w:firstLine="567"/>
        <w:jc w:val="both"/>
      </w:pPr>
      <w:r>
        <w:rPr>
          <w:rFonts w:ascii="Arial" w:cs="Arial" w:eastAsia="Arial" w:hAnsi="Arial"/>
          <w:sz w:val="24"/>
          <w:szCs w:val="24"/>
        </w:rPr>
        <w:t xml:space="preserve">В этой связи абзац шестой части 1 статьи 21 проекта Закона предлагаем привести в соответствие со </w:t>
      </w:r>
      <w:hyperlink w:history="1" r:id="rIdkq9ofj2q2u0lqu8ymqbmy">
        <w:r>
          <w:rPr>
            <w:rFonts w:ascii="Arial" w:cs="Arial" w:eastAsia="Arial" w:hAnsi="Arial"/>
            <w:color w:val="1D4ED8"/>
            <w:sz w:val="24"/>
            <w:szCs w:val="24"/>
            <w:u w:val="single"/>
          </w:rPr>
          <w:t xml:space="preserve">статьей 209</w:t>
        </w:r>
      </w:hyperlink>
      <w:r>
        <w:rPr>
          <w:rFonts w:ascii="Arial" w:cs="Arial" w:eastAsia="Arial" w:hAnsi="Arial"/>
          <w:sz w:val="24"/>
          <w:szCs w:val="24"/>
        </w:rPr>
        <w:t xml:space="preserve"> Кодекса Кыргызской Республики о правонарушениях.</w:t>
      </w:r>
    </w:p>
    <w:p>
      <w:pPr>
        <w:spacing w:after="60"/>
        <w:ind w:firstLine="567"/>
        <w:jc w:val="both"/>
      </w:pPr>
      <w:r>
        <w:rPr>
          <w:rFonts w:ascii="Arial" w:cs="Arial" w:eastAsia="Arial" w:hAnsi="Arial"/>
          <w:sz w:val="24"/>
          <w:szCs w:val="24"/>
        </w:rPr>
        <w:t xml:space="preserve">11. В части 3 статьи 23 проекта Закона предлагается установить, что органы местного самоуправления осуществляют мониторинг за обращением с отходами в пределах полномочий, установленных статьей 4 данного проекта Закона.</w:t>
      </w:r>
    </w:p>
    <w:p>
      <w:pPr>
        <w:spacing w:after="60"/>
        <w:ind w:firstLine="567"/>
        <w:jc w:val="both"/>
      </w:pPr>
      <w:r>
        <w:rPr>
          <w:rFonts w:ascii="Arial" w:cs="Arial" w:eastAsia="Arial" w:hAnsi="Arial"/>
          <w:sz w:val="24"/>
          <w:szCs w:val="24"/>
        </w:rPr>
        <w:t xml:space="preserve">При этом статья 4 проекта Закона не содержит соответствующих положений относительно мониторинга за обращением с отходами.</w:t>
      </w:r>
    </w:p>
    <w:p>
      <w:pPr>
        <w:spacing w:after="60"/>
        <w:ind w:firstLine="567"/>
        <w:jc w:val="both"/>
      </w:pPr>
      <w:r>
        <w:rPr>
          <w:rFonts w:ascii="Arial" w:cs="Arial" w:eastAsia="Arial" w:hAnsi="Arial"/>
          <w:sz w:val="24"/>
          <w:szCs w:val="24"/>
        </w:rPr>
        <w:t xml:space="preserve">В этой связи часть 3 статьи 23 проекта Закона предлагаем пересмотреть.</w:t>
      </w:r>
    </w:p>
    <w:p>
      <w:pPr>
        <w:spacing w:after="60"/>
        <w:ind w:firstLine="567"/>
        <w:jc w:val="both"/>
      </w:pPr>
      <w:r>
        <w:rPr>
          <w:rFonts w:ascii="Arial" w:cs="Arial" w:eastAsia="Arial" w:hAnsi="Arial"/>
          <w:sz w:val="24"/>
          <w:szCs w:val="24"/>
        </w:rPr>
        <w:t xml:space="preserve">12. Статьей 31 проекта Закона предлагается установить утилизационный платеж за переработку и утилизацию отходов, образующихся после утраты потребительских свойств этих товаров. Вместе с тем в соответствии с Кодексом о неналоговых доходах Кыргызской Республики на переработку ртутьсодержащих отходов, полимерных и пластиковых пакетов установлен утилизационный сбор.</w:t>
      </w:r>
    </w:p>
    <w:p>
      <w:pPr>
        <w:spacing w:after="60"/>
        <w:ind w:firstLine="567"/>
        <w:jc w:val="both"/>
      </w:pPr>
      <w:r>
        <w:rPr>
          <w:rFonts w:ascii="Arial" w:cs="Arial" w:eastAsia="Arial" w:hAnsi="Arial"/>
          <w:sz w:val="24"/>
          <w:szCs w:val="24"/>
        </w:rPr>
        <w:t xml:space="preserve">Учитывая что предлагаемый проект Закона регулирует отношения, возникающие в процессе образования, сбора, хранения, переработки, утилизации, обезвреживания, транспортирования и захоронения отходов производства и потребления, в понятийном аппарате проекта Закона предлагаем предусмотреть объемлющее определение утилизационного сбора.</w:t>
      </w:r>
    </w:p>
    <w:p>
      <w:pPr>
        <w:spacing w:after="60"/>
        <w:ind w:firstLine="567"/>
        <w:jc w:val="both"/>
      </w:pPr>
      <w:r>
        <w:rPr>
          <w:rFonts w:ascii="Arial" w:cs="Arial" w:eastAsia="Arial" w:hAnsi="Arial"/>
          <w:sz w:val="24"/>
          <w:szCs w:val="24"/>
        </w:rPr>
        <w:t xml:space="preserve">Наряду с этим, в целях формирования эффективной государственной модели экономического регулирования, направленной на минимизацию объемов поступления отходов на свалки и обеспечение возвращения вторичных ресурсов в производство, посредством внедрения системы расширенной ответственности производителей, в проекте Закона предлагаем предусмотреть механизм администрирования утилизационного сбора.</w:t>
      </w:r>
    </w:p>
    <w:p>
      <w:pPr>
        <w:spacing w:after="60"/>
        <w:ind w:firstLine="567"/>
        <w:jc w:val="both"/>
      </w:pPr>
      <w:r>
        <w:rPr>
          <w:rFonts w:ascii="Arial" w:cs="Arial" w:eastAsia="Arial" w:hAnsi="Arial"/>
          <w:sz w:val="24"/>
          <w:szCs w:val="24"/>
        </w:rPr>
        <w:t xml:space="preserve">13. Учитывая что Закон "Об отходах производства и потребления" принимается в новой редакции, из статей 8, 18, 20, 26, 28 проекта Закона необходимо исключить отсылки на действующие подзаконные акты.</w:t>
      </w:r>
    </w:p>
    <w:p>
      <w:pPr>
        <w:spacing w:after="60"/>
        <w:ind w:firstLine="567"/>
        <w:jc w:val="both"/>
      </w:pPr>
      <w:r>
        <w:rPr>
          <w:rFonts w:ascii="Arial" w:cs="Arial" w:eastAsia="Arial" w:hAnsi="Arial"/>
          <w:sz w:val="24"/>
          <w:szCs w:val="24"/>
        </w:rPr>
        <w:t xml:space="preserve">14. В части 1 статьи 35 проекта Закона предусмотрено, что настоящий Закон вступает в силу в течение трех месяцев после его официального опубликования.</w:t>
      </w:r>
    </w:p>
    <w:p>
      <w:pPr>
        <w:spacing w:after="60"/>
        <w:ind w:firstLine="567"/>
        <w:jc w:val="both"/>
      </w:pPr>
      <w:r>
        <w:rPr>
          <w:rFonts w:ascii="Arial" w:cs="Arial" w:eastAsia="Arial" w:hAnsi="Arial"/>
          <w:sz w:val="24"/>
          <w:szCs w:val="24"/>
        </w:rPr>
        <w:t xml:space="preserve">Согласно </w:t>
      </w:r>
      <w:hyperlink w:history="1" r:id="rId2mof3iybe3sdnj5fal_6p">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 Закона "О нормативных правовых актах Кыргызской Республики" закон вступает в силу по истечении десяти дней со дня официального опубликования, если иное не предусмотрено в самом законе или в законе о порядке введения его в действие.</w:t>
      </w:r>
    </w:p>
    <w:p>
      <w:pPr>
        <w:spacing w:after="60"/>
        <w:ind w:firstLine="567"/>
        <w:jc w:val="both"/>
      </w:pPr>
      <w:r>
        <w:rPr>
          <w:rFonts w:ascii="Arial" w:cs="Arial" w:eastAsia="Arial" w:hAnsi="Arial"/>
          <w:sz w:val="24"/>
          <w:szCs w:val="24"/>
        </w:rPr>
        <w:t xml:space="preserve">В этой связи часть 1 статьи 35 предлагаем изложить в следующей редакции:</w:t>
      </w:r>
    </w:p>
    <w:p>
      <w:pPr>
        <w:spacing w:after="60"/>
        <w:ind w:firstLine="567"/>
        <w:jc w:val="both"/>
      </w:pPr>
      <w:r>
        <w:rPr>
          <w:rFonts w:ascii="Arial" w:cs="Arial" w:eastAsia="Arial" w:hAnsi="Arial"/>
          <w:sz w:val="24"/>
          <w:szCs w:val="24"/>
        </w:rPr>
        <w:t xml:space="preserve">"1. Настоящий Закон вступает в силу по истечении трех месяцев со дня официального опубликования.".</w:t>
      </w:r>
    </w:p>
    <w:p>
      <w:pPr>
        <w:spacing w:after="60"/>
        <w:ind w:firstLine="567"/>
        <w:jc w:val="both"/>
      </w:pPr>
      <w:r>
        <w:rPr>
          <w:rFonts w:ascii="Arial" w:cs="Arial" w:eastAsia="Arial" w:hAnsi="Arial"/>
          <w:sz w:val="24"/>
          <w:szCs w:val="24"/>
        </w:rPr>
        <w:t xml:space="preserve">15. В соответствии с частью 3 статьи 35 проекта Закона со дня вступления в силу данного Закона Закон Кыргызской Республики "Об отходах производства и потребления" признается утратившим силу.</w:t>
      </w:r>
    </w:p>
    <w:p>
      <w:pPr>
        <w:spacing w:after="60"/>
        <w:ind w:firstLine="567"/>
        <w:jc w:val="both"/>
      </w:pPr>
      <w:r>
        <w:rPr>
          <w:rFonts w:ascii="Arial" w:cs="Arial" w:eastAsia="Arial" w:hAnsi="Arial"/>
          <w:sz w:val="24"/>
          <w:szCs w:val="24"/>
        </w:rPr>
        <w:t xml:space="preserve">Следует отметить, что согласно части 4 </w:t>
      </w:r>
      <w:hyperlink w:history="1" r:id="rIdiekyleffcdp-u8n9awbua">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"О нормативных правовых актах Кыргызской Республики" признание утратившим силу нормативного правового акта в целом или его структурного элемента означает, что данный нормативный правовой акт или его структурный элемент перестает действовать со дня вступления в силу нормативного правового акта, который признает утратившим силу данный акт или его структурный элемент, если иное не предусмотрено в акте о признании утратившим силу.</w:t>
      </w:r>
    </w:p>
    <w:p>
      <w:pPr>
        <w:spacing w:after="60"/>
        <w:ind w:firstLine="567"/>
        <w:jc w:val="both"/>
      </w:pPr>
      <w:r>
        <w:rPr>
          <w:rFonts w:ascii="Arial" w:cs="Arial" w:eastAsia="Arial" w:hAnsi="Arial"/>
          <w:sz w:val="24"/>
          <w:szCs w:val="24"/>
        </w:rPr>
        <w:t xml:space="preserve">В соответствии с частью 7 </w:t>
      </w:r>
      <w:hyperlink w:history="1" r:id="rIdy53lkv5nononw2elxe_45">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вышеуказанного Закона при признании нормативного правового акта утратившим силу одновременно подаются на утрату все нормативные правовые акты либо их структурные элементы, которыми вносились изменения и (или) дополнения в данный акт.</w:t>
      </w:r>
    </w:p>
    <w:p>
      <w:pPr>
        <w:spacing w:after="60"/>
        <w:ind w:firstLine="567"/>
        <w:jc w:val="both"/>
      </w:pPr>
      <w:r>
        <w:rPr>
          <w:rFonts w:ascii="Arial" w:cs="Arial" w:eastAsia="Arial" w:hAnsi="Arial"/>
          <w:sz w:val="24"/>
          <w:szCs w:val="24"/>
        </w:rPr>
        <w:t xml:space="preserve">В этой связи в проекте Закона необходимо предусмотреть признание утратившими силу всех законов о внесении изменений в вышеуказанный Закон.</w:t>
      </w:r>
    </w:p>
    <w:p>
      <w:pPr>
        <w:spacing w:after="60"/>
        <w:ind w:firstLine="567"/>
        <w:jc w:val="both"/>
      </w:pPr>
      <w:r>
        <w:rPr>
          <w:rFonts w:ascii="Arial" w:cs="Arial" w:eastAsia="Arial" w:hAnsi="Arial"/>
          <w:sz w:val="24"/>
          <w:szCs w:val="24"/>
        </w:rPr>
        <w:t xml:space="preserve">16. Проект Закона необходимо привести в соответствие с пунктами 42 и 43 </w:t>
      </w:r>
      <w:hyperlink w:history="1" r:id="rIdlbyq3ahxtqvu_h_8goeh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ver9yb37fezkjvj6twm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где предусмотрено, что часть статей подразделяется на пункты, обозначаемые арабскими цифрами с закрывающейся круглой скобкой.</w:t>
      </w:r>
    </w:p>
    <w:p>
      <w:pPr>
        <w:spacing w:after="60"/>
        <w:ind w:firstLine="567"/>
        <w:jc w:val="both"/>
      </w:pPr>
      <w:r>
        <w:rPr>
          <w:rFonts w:ascii="Arial" w:cs="Arial" w:eastAsia="Arial" w:hAnsi="Arial"/>
          <w:sz w:val="24"/>
          <w:szCs w:val="24"/>
        </w:rPr>
        <w:t xml:space="preserve">Пункты подразделяются на подпункты, обозначаемые строчными буквами алфавита на государственном языке с закрывающейся круглой скобкой.</w:t>
      </w:r>
    </w:p>
    <w:p>
      <w:pPr>
        <w:spacing w:after="60"/>
        <w:ind w:firstLine="567"/>
        <w:jc w:val="both"/>
      </w:pPr>
      <w:r>
        <w:rPr>
          <w:rFonts w:ascii="Arial" w:cs="Arial" w:eastAsia="Arial" w:hAnsi="Arial"/>
          <w:sz w:val="24"/>
          <w:szCs w:val="24"/>
        </w:rPr>
        <w:t xml:space="preserve">На основании вышеизложенного Кабинет Министров Кыргызской Республики считает возможным принятие проекта Закона Кыргызской Республики "Об отходах производства и потреблении" с учетом вышеизложенных предложений и замечаний.</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92ui5k7tnrxas4d5q3s">
      <w:r>
        <w:rPr>
          <w:rFonts w:ascii="Arial" w:cs="Arial" w:eastAsia="Arial" w:hAnsi="Arial"/>
          <w:color w:val="132D3F"/>
          <w:sz w:val="16"/>
          <w:szCs w:val="16"/>
          <w:u w:val="single"/>
        </w:rPr>
        <w:t xml:space="preserve">dalil.kg/document/219627</w:t>
      </w:r>
    </w:hyperlink>
  </w:p>
  <w:p>
    <w:pPr>
      <w:spacing w:after="0" w:before="40"/>
      <w:jc w:val="center"/>
    </w:pPr>
    <w:hyperlink w:history="1" r:id="rIdnwdp31ywokqppupuhs_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b9gjxcwr7porkoqlib9" Type="http://schemas.openxmlformats.org/officeDocument/2006/relationships/hyperlink" Target="https://dalil.kg/document/112301#st_18" TargetMode="External"/><Relationship Id="rIdome1tgbfdlbx7-ynbnoh0" Type="http://schemas.openxmlformats.org/officeDocument/2006/relationships/hyperlink" Target="https://dalil.kg/document/112301#st_27" TargetMode="External"/><Relationship Id="rId5jlrvnegm7moc7x7yqmks" Type="http://schemas.openxmlformats.org/officeDocument/2006/relationships/hyperlink" Target="https://dalil.kg/document/219627#pr" TargetMode="External"/><Relationship Id="rIdwyc_r265x08axvrlq4f_g" Type="http://schemas.openxmlformats.org/officeDocument/2006/relationships/hyperlink" Target="https://dalil.kg/document/219627" TargetMode="External"/><Relationship Id="rIdejreefcaafwt5e1hevh9y" Type="http://schemas.openxmlformats.org/officeDocument/2006/relationships/hyperlink" Target="https://dalil.kg/document/112301#st_27" TargetMode="External"/><Relationship Id="rIdbvdqbdfhzg9tt420oed2s" Type="http://schemas.openxmlformats.org/officeDocument/2006/relationships/hyperlink" Target="https://dalil.kg/document/202591#st_11" TargetMode="External"/><Relationship Id="rIdejhyeeprbmqdputzxxoao" Type="http://schemas.openxmlformats.org/officeDocument/2006/relationships/hyperlink" Target="https://dalil.kg/document/4#st_8" TargetMode="External"/><Relationship Id="rIdcyyhsgleu4i6vhyy0unug" Type="http://schemas.openxmlformats.org/officeDocument/2006/relationships/hyperlink" Target="https://dalil.kg/document/112302#st_2" TargetMode="External"/><Relationship Id="rId235zgpf8ebtpmgrr8kkbt" Type="http://schemas.openxmlformats.org/officeDocument/2006/relationships/hyperlink" Target="https://dalil.kg/document/112302#st_17" TargetMode="External"/><Relationship Id="rIdpltxgupdyjdpqn0pwbvaj" Type="http://schemas.openxmlformats.org/officeDocument/2006/relationships/hyperlink" Target="https://dalil.kg/document/112302#st_27" TargetMode="External"/><Relationship Id="rIdvonqcso5kiepwgmdibyoy" Type="http://schemas.openxmlformats.org/officeDocument/2006/relationships/hyperlink" Target="https://dalil.kg/document/76491" TargetMode="External"/><Relationship Id="rIdi4zscer1f8cgqbxaxzysb" Type="http://schemas.openxmlformats.org/officeDocument/2006/relationships/hyperlink" Target="https://dalil.kg/document/76490" TargetMode="External"/><Relationship Id="rId7gqmpfo_ggdlk8knpzpjn" Type="http://schemas.openxmlformats.org/officeDocument/2006/relationships/hyperlink" Target="https://dalil.kg/document/205058" TargetMode="External"/><Relationship Id="rIdna81kdjvnduwzwq9fo-wx" Type="http://schemas.openxmlformats.org/officeDocument/2006/relationships/hyperlink" Target="https://dalil.kg/document/158252#st_15" TargetMode="External"/><Relationship Id="rId4idrflvlsdhehvocwwaao" Type="http://schemas.openxmlformats.org/officeDocument/2006/relationships/hyperlink" Target="https://dalil.kg/document/158252#st_17" TargetMode="External"/><Relationship Id="rIdh5b7amew78kpuowvlaijr" Type="http://schemas.openxmlformats.org/officeDocument/2006/relationships/hyperlink" Target="https://dalil.kg/document/202591#st_4" TargetMode="External"/><Relationship Id="rIdjrx32lfsvvoecmp6ob7k9" Type="http://schemas.openxmlformats.org/officeDocument/2006/relationships/hyperlink" Target="https://dalil.kg/document/112306" TargetMode="External"/><Relationship Id="rIdl-rzwsixbckjwttcdb-ww" Type="http://schemas.openxmlformats.org/officeDocument/2006/relationships/hyperlink" Target="https://dalil.kg/document/112306#st_209" TargetMode="External"/><Relationship Id="rIdkq9ofj2q2u0lqu8ymqbmy" Type="http://schemas.openxmlformats.org/officeDocument/2006/relationships/hyperlink" Target="https://dalil.kg/document/112306#st_209" TargetMode="External"/><Relationship Id="rId2mof3iybe3sdnj5fal_6p" Type="http://schemas.openxmlformats.org/officeDocument/2006/relationships/hyperlink" Target="https://dalil.kg/document/202591#st_30" TargetMode="External"/><Relationship Id="rIdiekyleffcdp-u8n9awbua" Type="http://schemas.openxmlformats.org/officeDocument/2006/relationships/hyperlink" Target="https://dalil.kg/document/202591#st_10" TargetMode="External"/><Relationship Id="rIdy53lkv5nononw2elxe_45" Type="http://schemas.openxmlformats.org/officeDocument/2006/relationships/hyperlink" Target="https://dalil.kg/document/202591#st_17" TargetMode="External"/><Relationship Id="rIdlbyq3ahxtqvu_h_8goehk" Type="http://schemas.openxmlformats.org/officeDocument/2006/relationships/hyperlink" Target="https://dalil.kg/document/76491" TargetMode="External"/><Relationship Id="rIdver9yb37fezkjvj6twmuh"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92ui5k7tnrxas4d5q3s" Type="http://schemas.openxmlformats.org/officeDocument/2006/relationships/hyperlink" Target="https://dalil.kg/document/219627" TargetMode="External"/><Relationship Id="rIdnwdp31ywokqppupuhs_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2026-09-28T12:46:29.830Z</dcterms:created>
  <dcterms:modified xsi:type="dcterms:W3CDTF">2026-09-28T12:46:29.830Z</dcterms:modified>
</cp:coreProperties>
</file>

<file path=docProps/custom.xml><?xml version="1.0" encoding="utf-8"?>
<Properties xmlns="http://schemas.openxmlformats.org/officeDocument/2006/custom-properties" xmlns:vt="http://schemas.openxmlformats.org/officeDocument/2006/docPropsVTypes"/>
</file>