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июля 2023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Кутманбаеве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соответствии со </w:t>
      </w:r>
      <w:hyperlink w:history="1" r:id="rIdms7ok_jurjcjazx-6i3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Республики «О Кабинете Министров Кыргызской Республики», </w:t>
      </w:r>
      <w:hyperlink w:history="1" r:id="rIdscxcknokxy_lmuy5iox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82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 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КУТМАНБАЕВА Элмира Абаскановича</w:t>
      </w:r>
      <w:r>
        <w:rPr>
          <w:rFonts w:ascii="Arial" w:cs="Arial" w:eastAsia="Arial" w:hAnsi="Arial"/>
          <w:sz w:val="24"/>
          <w:szCs w:val="24"/>
        </w:rPr>
        <w:t xml:space="preserve"> от занимаемой должности директора государственного предприятия «Передвижная механизированная колонна».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Основание:</w:t>
      </w:r>
      <w:r>
        <w:rPr>
          <w:rFonts w:ascii="Arial" w:cs="Arial" w:eastAsia="Arial" w:hAnsi="Arial"/>
          <w:sz w:val="24"/>
          <w:szCs w:val="24"/>
        </w:rPr>
        <w:t xml:space="preserve"> представление государственным имуществом при и коммерции Кыргызской Республики. Фонда ПО Министерстве управлению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t3kpe3mnncnc6ofji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dalil.kg/document/219656</w:t>
      </w:r>
    </w:hyperlink>
  </w:p>
  <w:p>
    <w:pPr>
      <w:spacing w:after="0" w:before="40"/>
      <w:jc w:val="center"/>
    </w:pPr>
    <w:hyperlink w:history="1" r:id="rIdmbzlkokan5o0ft1janv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7ok_jurjcjazx-6i3bx" Type="http://schemas.openxmlformats.org/officeDocument/2006/relationships/hyperlink" Target="https://dalil.kg/document/112301#st_18" TargetMode="External"/><Relationship Id="rIdscxcknokxy_lmuy5ioxoo" Type="http://schemas.openxmlformats.org/officeDocument/2006/relationships/hyperlink" Target="https://dalil.kg/document/1505#st_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t3kpe3mnncnc6ofjihg" Type="http://schemas.openxmlformats.org/officeDocument/2006/relationships/hyperlink" Target="https://dalil.kg/document/219656" TargetMode="External"/><Relationship Id="rIdmbzlkokan5o0ft1janv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2026-09-29T03:46:45.568Z</dcterms:created>
  <dcterms:modified xsi:type="dcterms:W3CDTF">2026-09-29T03:46:45.568Z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