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БИШКЕКСКИЙ ГОРОДСКОЙ КЕҢЕШ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октября 2014 года № 101</w:t>
      </w:r>
    </w:p>
    <w:p>
      <w:pPr>
        <w:spacing w:after="120"/>
        <w:jc w:val="both"/>
      </w:pPr>
      <w:r>
        <w:rPr>
          <w:rFonts w:ascii="Arial" w:cs="Arial" w:eastAsia="Arial" w:hAnsi="Arial"/>
          <w:sz w:val="24"/>
          <w:szCs w:val="24"/>
        </w:rPr>
        <w:t xml:space="preserve">О внесении дополнений в постановление</w:t>
      </w:r>
    </w:p>
    <w:p>
      <w:pPr>
        <w:spacing w:after="120"/>
        <w:jc w:val="both"/>
      </w:pPr>
      <w:r>
        <w:rPr>
          <w:rFonts w:ascii="Arial" w:cs="Arial" w:eastAsia="Arial" w:hAnsi="Arial"/>
          <w:sz w:val="24"/>
          <w:szCs w:val="24"/>
        </w:rPr>
        <w:t xml:space="preserve">Бишкекского городского кенеша</w:t>
      </w:r>
    </w:p>
    <w:p>
      <w:pPr>
        <w:spacing w:after="120"/>
        <w:jc w:val="both"/>
      </w:pPr>
      <w:r>
        <w:rPr>
          <w:rFonts w:ascii="Arial" w:cs="Arial" w:eastAsia="Arial" w:hAnsi="Arial"/>
          <w:sz w:val="24"/>
          <w:szCs w:val="24"/>
        </w:rPr>
        <w:t xml:space="preserve">«О введении моратория на предоставление</w:t>
      </w:r>
    </w:p>
    <w:p>
      <w:pPr>
        <w:spacing w:after="120"/>
        <w:jc w:val="both"/>
      </w:pPr>
      <w:r>
        <w:rPr>
          <w:rFonts w:ascii="Arial" w:cs="Arial" w:eastAsia="Arial" w:hAnsi="Arial"/>
          <w:sz w:val="24"/>
          <w:szCs w:val="24"/>
        </w:rPr>
        <w:t xml:space="preserve">земельных участков под строительство</w:t>
      </w:r>
    </w:p>
    <w:p>
      <w:pPr>
        <w:spacing w:after="120"/>
        <w:jc w:val="both"/>
      </w:pPr>
      <w:r>
        <w:rPr>
          <w:rFonts w:ascii="Arial" w:cs="Arial" w:eastAsia="Arial" w:hAnsi="Arial"/>
          <w:sz w:val="24"/>
          <w:szCs w:val="24"/>
        </w:rPr>
        <w:t xml:space="preserve">автомобильных заправочных станций»</w:t>
      </w:r>
    </w:p>
    <w:p>
      <w:pPr>
        <w:spacing w:after="120"/>
        <w:jc w:val="both"/>
      </w:pPr>
      <w:r>
        <w:rPr>
          <w:rFonts w:ascii="Arial" w:cs="Arial" w:eastAsia="Arial" w:hAnsi="Arial"/>
          <w:sz w:val="24"/>
          <w:szCs w:val="24"/>
        </w:rPr>
        <w:t xml:space="preserve">от 19 ноября 2013 года № 58</w:t>
      </w:r>
    </w:p>
    <w:p>
      <w:pPr>
        <w:spacing w:after="120" w:before="240"/>
        <w:jc w:val="both"/>
      </w:pPr>
      <w:r>
        <w:rPr>
          <w:rFonts w:ascii="Arial" w:cs="Arial" w:eastAsia="Arial" w:hAnsi="Arial"/>
          <w:sz w:val="24"/>
          <w:szCs w:val="24"/>
        </w:rPr>
        <w:t xml:space="preserve">В соответствии с </w:t>
      </w:r>
      <w:hyperlink w:history="1" r:id="rIdx37ofe2y96gs4mhe455z9">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w:t>
      </w:r>
      <w:hyperlink w:history="1" r:id="rIdffvibcgvcrhzvbb9ru8op">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руководствуясь законами Кыргызской Республики «</w:t>
      </w:r>
      <w:hyperlink w:history="1" r:id="rId3haiuvicjv8awkl6lq003">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oxk0mi7nrx5tjbdlla4-a">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в целях дальнейшей оптимизации процесса предоставления, строительства автомобильных заправочных станций на территории города Бишкек, обеспечения экологической и техногенной безопасности, решения вопросов транспортных развязок, а так же в связи с протокольным поручением сессии Бишкекского городского кенеша, неоднократными обращениями представителей газозаправочных станций, Бишкекский городской кенеш</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Дополнить </w:t>
      </w:r>
      <w:hyperlink w:history="1" r:id="rIdjxdimywlwn5gouiyzle8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 введении моратория на предоставление земельных участков под строительство автомобильных заправочных станций» от 19 ноября 2013 года № 58 пунктами 2-1, 2-2 следующего содержания:</w:t>
      </w:r>
    </w:p>
    <w:p>
      <w:pPr>
        <w:spacing w:after="120"/>
        <w:jc w:val="both"/>
      </w:pPr>
      <w:r>
        <w:rPr>
          <w:rFonts w:ascii="Arial" w:cs="Arial" w:eastAsia="Arial" w:hAnsi="Arial"/>
          <w:sz w:val="24"/>
          <w:szCs w:val="24"/>
        </w:rPr>
        <w:t xml:space="preserve">«2-1. В случае демонтажа автомобильных заправочных станций с центральных улиц города Бишкек в  соответствии с законодательством Кыргызской Республики, предоставление другого земельного участка взамен демонтированного, возможно за пределами территории, ограниченной улицей Аалы Токомбаева, проспектом  Абсамата Масалиева, улицами  Дооронбека Садырбаева, Льва Толстого (от улицы Дооронбека Садырбаева до улицы Тайшетская), Юлиуса Фучика, проспектом Жибек-Жолу, улицами Курманжан Датка и Шабдан Баатыра, согласно прилагаемой схеме № 1.».</w:t>
      </w:r>
    </w:p>
    <w:p>
      <w:pPr>
        <w:spacing w:after="120"/>
        <w:jc w:val="both"/>
      </w:pPr>
      <w:r>
        <w:rPr>
          <w:rFonts w:ascii="Arial" w:cs="Arial" w:eastAsia="Arial" w:hAnsi="Arial"/>
          <w:sz w:val="24"/>
          <w:szCs w:val="24"/>
        </w:rPr>
        <w:t xml:space="preserve">2-2. Высвобожденные земельные участки не использовать до разработки и утверждения плана детальной планировки города Бишкек.».</w:t>
      </w:r>
    </w:p>
    <w:p>
      <w:pPr>
        <w:spacing w:after="120"/>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постоянные комиссии Бишкекского городского кенеша по регламенту, правовым вопросам и правопорядку (Лисниченко В. М.), по муниципальной собственности, земельным вопросам, градостроительству и архитектуре (Адылбеков У. Е.) и вице мэра города Бишкек Дюшембиева Б. 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М.А.Аманкулов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galki9skh0hnafwjssvm">
      <w:r>
        <w:rPr>
          <w:rFonts w:ascii="Arial" w:cs="Arial" w:eastAsia="Arial" w:hAnsi="Arial"/>
          <w:color w:val="132D3F"/>
          <w:sz w:val="16"/>
          <w:szCs w:val="16"/>
          <w:u w:val="single"/>
        </w:rPr>
        <w:t xml:space="preserve">dalil.kg/document/221067</w:t>
      </w:r>
    </w:hyperlink>
  </w:p>
  <w:p>
    <w:pPr>
      <w:spacing w:after="0" w:before="40"/>
      <w:jc w:val="center"/>
    </w:pPr>
    <w:hyperlink w:history="1" r:id="rIdixxupqnh-y3qzi24xvi1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37ofe2y96gs4mhe455z9" Type="http://schemas.openxmlformats.org/officeDocument/2006/relationships/hyperlink" Target="https://dalil.kg/document/8" TargetMode="External"/><Relationship Id="rIdffvibcgvcrhzvbb9ru8op" Type="http://schemas.openxmlformats.org/officeDocument/2006/relationships/hyperlink" Target="https://dalil.kg/document/4" TargetMode="External"/><Relationship Id="rId3haiuvicjv8awkl6lq003" Type="http://schemas.openxmlformats.org/officeDocument/2006/relationships/hyperlink" Target="https://dalil.kg/document/203102" TargetMode="External"/><Relationship Id="rIdoxk0mi7nrx5tjbdlla4-a" Type="http://schemas.openxmlformats.org/officeDocument/2006/relationships/hyperlink" Target="https://dalil.kg/document/992" TargetMode="External"/><Relationship Id="rIdjxdimywlwn5gouiyzle8w" Type="http://schemas.openxmlformats.org/officeDocument/2006/relationships/hyperlink" Target="https://dalil.kg/document/20490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galki9skh0hnafwjssvm" Type="http://schemas.openxmlformats.org/officeDocument/2006/relationships/hyperlink" Target="https://dalil.kg/document/221067" TargetMode="External"/><Relationship Id="rIdixxupqnh-y3qzi24xvi1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2026-09-27T17:40:11.263Z</dcterms:created>
  <dcterms:modified xsi:type="dcterms:W3CDTF">2026-09-27T17:40:11.263Z</dcterms:modified>
</cp:coreProperties>
</file>

<file path=docProps/custom.xml><?xml version="1.0" encoding="utf-8"?>
<Properties xmlns="http://schemas.openxmlformats.org/officeDocument/2006/custom-properties" xmlns:vt="http://schemas.openxmlformats.org/officeDocument/2006/docPropsVTypes"/>
</file>