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840"/>
        <w:jc w:val="center"/>
      </w:pPr>
      <w:r>
        <w:rPr>
          <w:rFonts w:ascii="Arial" w:cs="Arial" w:eastAsia="Arial" w:hAnsi="Arial"/>
          <w:i/>
          <w:iCs/>
          <w:sz w:val="24"/>
          <w:szCs w:val="24"/>
        </w:rPr>
        <w:t xml:space="preserve">УТРАТИЛО СИЛУ
 в соответствии с </w:t>
      </w:r>
      <w:hyperlink w:history="1" r:id="rIdlcljajegvhriztoddzb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апреля 2025 года № 227</w:t>
      </w:r>
    </w:p>
    <w:p>
      <w:pPr>
        <w:spacing w:after="840" w:before="20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12 декабря 2023 года № 665</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Среднесрочной тарифной политики Кыргызской Республики на электрическую энергию на 2021-2025 годы" от 30 сентября 2021 года № 192</w:t>
      </w:r>
    </w:p>
    <w:p>
      <w:pPr>
        <w:spacing w:after="60"/>
        <w:ind w:firstLine="567"/>
        <w:jc w:val="both"/>
      </w:pPr>
      <w:r>
        <w:rPr>
          <w:rFonts w:ascii="Arial" w:cs="Arial" w:eastAsia="Arial" w:hAnsi="Arial"/>
          <w:sz w:val="24"/>
          <w:szCs w:val="24"/>
        </w:rPr>
        <w:t xml:space="preserve">В целях упрощения для потребителей расчета и применения тарифов на электрическую энергию электроснабжающими компаниями, а также систематизации законодательства Кыргызской Республики, в соответствии со </w:t>
      </w:r>
      <w:hyperlink w:history="1" r:id="rIdvqujuu7wlsejem8ywwdr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энергетике", статьями </w:t>
      </w:r>
      <w:hyperlink w:history="1" r:id="rIduiqphfp2mx8xzie3wlna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ndx5ufiff1hdlmja1eu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9lm-twm18gbdzbluwhr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d5kc_hpk3hgd3gydgmtxg">
        <w:r>
          <w:rPr>
            <w:rFonts w:ascii="Arial" w:cs="Arial" w:eastAsia="Arial" w:hAnsi="Arial"/>
            <w:color w:val="1D4ED8"/>
            <w:sz w:val="24"/>
            <w:szCs w:val="24"/>
            <w:u w:val="single"/>
          </w:rPr>
          <w:t xml:space="preserve">Среднесрочной тарифной политики</w:t>
        </w:r>
      </w:hyperlink>
      <w:r>
        <w:rPr>
          <w:rFonts w:ascii="Arial" w:cs="Arial" w:eastAsia="Arial" w:hAnsi="Arial"/>
          <w:sz w:val="24"/>
          <w:szCs w:val="24"/>
        </w:rPr>
        <w:t xml:space="preserve"> Кыргызской Республики на электрическую энергию на 2021-2025 годы" от 30 сентября 2021 года № 192 следующие изменения:</w:t>
      </w:r>
    </w:p>
    <w:p>
      <w:pPr>
        <w:spacing w:after="60"/>
        <w:ind w:firstLine="567"/>
        <w:jc w:val="both"/>
      </w:pPr>
      <w:r>
        <w:rPr>
          <w:rFonts w:ascii="Arial" w:cs="Arial" w:eastAsia="Arial" w:hAnsi="Arial"/>
          <w:sz w:val="24"/>
          <w:szCs w:val="24"/>
        </w:rPr>
        <w:t xml:space="preserve">в </w:t>
      </w:r>
      <w:hyperlink w:history="1" r:id="rIdh5vmvpkjk_oafotxxsbbb">
        <w:r>
          <w:rPr>
            <w:rFonts w:ascii="Arial" w:cs="Arial" w:eastAsia="Arial" w:hAnsi="Arial"/>
            <w:color w:val="1D4ED8"/>
            <w:sz w:val="24"/>
            <w:szCs w:val="24"/>
            <w:u w:val="single"/>
          </w:rPr>
          <w:t xml:space="preserve">Среднесрочной тарифной политике</w:t>
        </w:r>
      </w:hyperlink>
      <w:r>
        <w:rPr>
          <w:rFonts w:ascii="Arial" w:cs="Arial" w:eastAsia="Arial" w:hAnsi="Arial"/>
          <w:sz w:val="24"/>
          <w:szCs w:val="24"/>
        </w:rPr>
        <w:t xml:space="preserve"> Кыргызской Республики на электрическую энергию на 2021-2025 годы, утвержденной вышеуказанным постановлением:</w:t>
      </w:r>
    </w:p>
    <w:p>
      <w:pPr>
        <w:spacing w:after="60"/>
        <w:ind w:firstLine="567"/>
        <w:jc w:val="both"/>
      </w:pPr>
      <w:r>
        <w:rPr>
          <w:rFonts w:ascii="Arial" w:cs="Arial" w:eastAsia="Arial" w:hAnsi="Arial"/>
          <w:sz w:val="24"/>
          <w:szCs w:val="24"/>
        </w:rPr>
        <w:t xml:space="preserve">- абзац четвертый </w:t>
      </w:r>
      <w:hyperlink w:history="1" r:id="rId65mo59zhdl2l781rebu7s">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 в </w:t>
      </w:r>
      <w:hyperlink w:history="1" r:id="rIdzkr01gwwxpyz9bkf39i5_">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"Для бытовых потребителей, желающих использовать электроэнергию без ограничения потребления и мощности, устанавливается отдельный тариф на электроэнергию в соответствии с заключенным с электроснабжающей организацией договором в размере 327,6 тыйына за 1 кВт.ч.";</w:t>
      </w:r>
    </w:p>
    <w:p>
      <w:pPr>
        <w:spacing w:after="60"/>
        <w:ind w:firstLine="567"/>
        <w:jc w:val="both"/>
      </w:pPr>
      <w:r>
        <w:rPr>
          <w:rFonts w:ascii="Arial" w:cs="Arial" w:eastAsia="Arial" w:hAnsi="Arial"/>
          <w:sz w:val="24"/>
          <w:szCs w:val="24"/>
        </w:rPr>
        <w:t xml:space="preserve">в абзаце десятом слова "общественных и частных" исключить;</w:t>
      </w:r>
    </w:p>
    <w:p>
      <w:pPr>
        <w:spacing w:after="60"/>
        <w:ind w:firstLine="567"/>
        <w:jc w:val="both"/>
      </w:pPr>
      <w:r>
        <w:rPr>
          <w:rFonts w:ascii="Arial" w:cs="Arial" w:eastAsia="Arial" w:hAnsi="Arial"/>
          <w:sz w:val="24"/>
          <w:szCs w:val="24"/>
        </w:rPr>
        <w:t xml:space="preserve">абзац одиннадцатый изложить в следующей редакции:</w:t>
      </w:r>
    </w:p>
    <w:p>
      <w:pPr>
        <w:spacing w:after="60"/>
        <w:ind w:firstLine="567"/>
        <w:jc w:val="both"/>
      </w:pPr>
      <w:r>
        <w:rPr>
          <w:rFonts w:ascii="Arial" w:cs="Arial" w:eastAsia="Arial" w:hAnsi="Arial"/>
          <w:sz w:val="24"/>
          <w:szCs w:val="24"/>
        </w:rPr>
        <w:t xml:space="preserve">"Для станций по зарядке электромобилей, использующих электроэнергию без ограничения потребления и мощности, тариф на электроэнергию устанавливается в соответствии с заключенным с электроснабжающей организацией договором в размере 442,0 тыйынов за 1 кВт.ч (без учета налогов).";</w:t>
      </w:r>
    </w:p>
    <w:p>
      <w:pPr>
        <w:spacing w:after="60"/>
        <w:ind w:firstLine="567"/>
        <w:jc w:val="both"/>
      </w:pPr>
      <w:r>
        <w:rPr>
          <w:rFonts w:ascii="Arial" w:cs="Arial" w:eastAsia="Arial" w:hAnsi="Arial"/>
          <w:sz w:val="24"/>
          <w:szCs w:val="24"/>
        </w:rPr>
        <w:t xml:space="preserve">абзацы двадцатый, тридцать первый признать утратившими силу;</w:t>
      </w:r>
    </w:p>
    <w:p>
      <w:pPr>
        <w:spacing w:after="60"/>
        <w:ind w:firstLine="567"/>
        <w:jc w:val="both"/>
      </w:pPr>
      <w:r>
        <w:rPr>
          <w:rFonts w:ascii="Arial" w:cs="Arial" w:eastAsia="Arial" w:hAnsi="Arial"/>
          <w:sz w:val="24"/>
          <w:szCs w:val="24"/>
        </w:rPr>
        <w:t xml:space="preserve">абзац двадцать первый изложить в следующей редакции:</w:t>
      </w:r>
    </w:p>
    <w:p>
      <w:pPr>
        <w:spacing w:after="60"/>
        <w:ind w:firstLine="567"/>
        <w:jc w:val="both"/>
      </w:pPr>
      <w:r>
        <w:rPr>
          <w:rFonts w:ascii="Arial" w:cs="Arial" w:eastAsia="Arial" w:hAnsi="Arial"/>
          <w:sz w:val="24"/>
          <w:szCs w:val="24"/>
        </w:rPr>
        <w:t xml:space="preserve">"Майнинг (криптовалюта), золоторудная промышленность, алкогольная промышленность";</w:t>
      </w:r>
    </w:p>
    <w:p>
      <w:pPr>
        <w:spacing w:after="60"/>
        <w:ind w:firstLine="567"/>
        <w:jc w:val="both"/>
      </w:pPr>
      <w:r>
        <w:rPr>
          <w:rFonts w:ascii="Arial" w:cs="Arial" w:eastAsia="Arial" w:hAnsi="Arial"/>
          <w:sz w:val="24"/>
          <w:szCs w:val="24"/>
        </w:rPr>
        <w:t xml:space="preserve">предложение первое абзаца двадцать третьего изложить в следующей редакции: "В этой связи, учитывая энергоемкость подобных предприятий и необходимость бесперебойного обеспечения электрической энергией, вышеуказанные потребители выделены в отдельные группы, для которых тариф на электрическую энергию будет 504,0 тыйына за 1 кВт.ч (без учета налогов).";</w:t>
      </w:r>
    </w:p>
    <w:p>
      <w:pPr>
        <w:spacing w:after="60"/>
        <w:ind w:firstLine="567"/>
        <w:jc w:val="both"/>
      </w:pPr>
      <w:r>
        <w:rPr>
          <w:rFonts w:ascii="Arial" w:cs="Arial" w:eastAsia="Arial" w:hAnsi="Arial"/>
          <w:sz w:val="24"/>
          <w:szCs w:val="24"/>
        </w:rPr>
        <w:t xml:space="preserve">абзацы двадцать четвертый - двадцать седьмой изложить в следующей редакции:</w:t>
      </w:r>
    </w:p>
    <w:p>
      <w:pPr>
        <w:spacing w:after="60"/>
        <w:ind w:firstLine="567"/>
        <w:jc w:val="both"/>
      </w:pPr>
      <w:r>
        <w:rPr>
          <w:rFonts w:ascii="Arial" w:cs="Arial" w:eastAsia="Arial" w:hAnsi="Arial"/>
          <w:sz w:val="24"/>
          <w:szCs w:val="24"/>
        </w:rPr>
        <w:t xml:space="preserve">"Литейное производство</w:t>
      </w:r>
    </w:p>
    <w:p>
      <w:pPr>
        <w:spacing w:after="60"/>
        <w:ind w:firstLine="567"/>
        <w:jc w:val="both"/>
      </w:pPr>
      <w:r>
        <w:rPr>
          <w:rFonts w:ascii="Arial" w:cs="Arial" w:eastAsia="Arial" w:hAnsi="Arial"/>
          <w:sz w:val="24"/>
          <w:szCs w:val="24"/>
        </w:rPr>
        <w:t xml:space="preserve">Литейные производства являются основными потребителями электрической энергии, которые производят продукцию социальной направленности.</w:t>
      </w:r>
    </w:p>
    <w:p>
      <w:pPr>
        <w:spacing w:after="60"/>
        <w:ind w:firstLine="567"/>
        <w:jc w:val="both"/>
      </w:pPr>
      <w:r>
        <w:rPr>
          <w:rFonts w:ascii="Arial" w:cs="Arial" w:eastAsia="Arial" w:hAnsi="Arial"/>
          <w:sz w:val="24"/>
          <w:szCs w:val="24"/>
        </w:rPr>
        <w:t xml:space="preserve">В этой связи, учитывая необходимость бесперебойного обеспечения электрической энергией в условиях ее дефицита, указанные потребители выделены в отдельную группу, для которой тариф на электрическую энергию будет 504,0 тыйына за 1 кВт.ч (без учета налогов), т.е. для данной категории потребителей тариф будет установлен на уровне компенсации затрат на выработку электрической энергии на ТЭЦ с учетом ее доставки до потребителя.</w:t>
      </w:r>
    </w:p>
    <w:p>
      <w:pPr>
        <w:spacing w:after="60"/>
        <w:ind w:firstLine="567"/>
        <w:jc w:val="both"/>
      </w:pPr>
      <w:r>
        <w:rPr>
          <w:rFonts w:ascii="Arial" w:cs="Arial" w:eastAsia="Arial" w:hAnsi="Arial"/>
          <w:sz w:val="24"/>
          <w:szCs w:val="24"/>
        </w:rPr>
        <w:t xml:space="preserve">Цементное производство";</w:t>
      </w:r>
    </w:p>
    <w:p>
      <w:pPr>
        <w:spacing w:after="60"/>
        <w:ind w:firstLine="567"/>
        <w:jc w:val="both"/>
      </w:pPr>
      <w:r>
        <w:rPr>
          <w:rFonts w:ascii="Arial" w:cs="Arial" w:eastAsia="Arial" w:hAnsi="Arial"/>
          <w:sz w:val="24"/>
          <w:szCs w:val="24"/>
        </w:rPr>
        <w:t xml:space="preserve">в абзаце двадцать восьмом слово "крупными" заменить словом "основными";</w:t>
      </w:r>
    </w:p>
    <w:p>
      <w:pPr>
        <w:spacing w:after="60"/>
        <w:ind w:firstLine="567"/>
        <w:jc w:val="both"/>
      </w:pPr>
      <w:r>
        <w:rPr>
          <w:rFonts w:ascii="Arial" w:cs="Arial" w:eastAsia="Arial" w:hAnsi="Arial"/>
          <w:sz w:val="24"/>
          <w:szCs w:val="24"/>
        </w:rPr>
        <w:t xml:space="preserve">в абзаце двадцать девятом слова "корректироваться на повышающий коэффициент 1,3" заменить словами "327,6 тыйына за 1 кВт.ч (без учета налогов)";</w:t>
      </w:r>
    </w:p>
    <w:p>
      <w:pPr>
        <w:spacing w:after="60"/>
        <w:ind w:firstLine="567"/>
        <w:jc w:val="both"/>
      </w:pPr>
      <w:r>
        <w:rPr>
          <w:rFonts w:ascii="Arial" w:cs="Arial" w:eastAsia="Arial" w:hAnsi="Arial"/>
          <w:sz w:val="24"/>
          <w:szCs w:val="24"/>
        </w:rPr>
        <w:t xml:space="preserve">абзац тридцать второй изложить в следующей редакции:</w:t>
      </w:r>
    </w:p>
    <w:p>
      <w:pPr>
        <w:spacing w:after="60"/>
        <w:ind w:firstLine="567"/>
        <w:jc w:val="both"/>
      </w:pPr>
      <w:r>
        <w:rPr>
          <w:rFonts w:ascii="Arial" w:cs="Arial" w:eastAsia="Arial" w:hAnsi="Arial"/>
          <w:sz w:val="24"/>
          <w:szCs w:val="24"/>
        </w:rPr>
        <w:t xml:space="preserve">"Тариф для производителей электрической энергии, вырабатываемой с использованием возобновляемых источников энергии, производится согласно </w:t>
      </w:r>
      <w:hyperlink w:history="1" r:id="rIdorba2hayldcudmiy0llcu">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дополнить </w:t>
      </w:r>
      <w:hyperlink w:history="1" r:id="rIdzqmznptswcl8dkino6o7e">
        <w:r>
          <w:rPr>
            <w:rFonts w:ascii="Arial" w:cs="Arial" w:eastAsia="Arial" w:hAnsi="Arial"/>
            <w:color w:val="1D4ED8"/>
            <w:sz w:val="24"/>
            <w:szCs w:val="24"/>
            <w:u w:val="single"/>
          </w:rPr>
          <w:t xml:space="preserve">приложением 2-1</w:t>
        </w:r>
      </w:hyperlink>
      <w:r>
        <w:rPr>
          <w:rFonts w:ascii="Arial" w:cs="Arial" w:eastAsia="Arial" w:hAnsi="Arial"/>
          <w:sz w:val="24"/>
          <w:szCs w:val="24"/>
        </w:rPr>
        <w:t xml:space="preserve"> в редакции согласно </w:t>
      </w:r>
      <w:hyperlink w:history="1" r:id="rIdkmbx7nvan-rt353flttv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к настоящему постановлению;</w:t>
      </w:r>
    </w:p>
    <w:p>
      <w:pPr>
        <w:spacing w:after="60"/>
        <w:ind w:firstLine="567"/>
        <w:jc w:val="both"/>
      </w:pPr>
      <w:r>
        <w:rPr>
          <w:rFonts w:ascii="Arial" w:cs="Arial" w:eastAsia="Arial" w:hAnsi="Arial"/>
          <w:sz w:val="24"/>
          <w:szCs w:val="24"/>
        </w:rPr>
        <w:t xml:space="preserve">- в </w:t>
      </w:r>
      <w:hyperlink w:history="1" r:id="rIdy5nzoeugqfeopk6q6vnx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Среднесрочной тарифной политике:</w:t>
      </w:r>
    </w:p>
    <w:p>
      <w:pPr>
        <w:spacing w:after="60"/>
        <w:ind w:firstLine="567"/>
        <w:jc w:val="both"/>
      </w:pPr>
      <w:r>
        <w:rPr>
          <w:rFonts w:ascii="Arial" w:cs="Arial" w:eastAsia="Arial" w:hAnsi="Arial"/>
          <w:sz w:val="24"/>
          <w:szCs w:val="24"/>
        </w:rPr>
        <w:t xml:space="preserve">в подпункте 1.6:</w:t>
      </w:r>
    </w:p>
    <w:p>
      <w:pPr>
        <w:spacing w:after="60"/>
        <w:ind w:firstLine="567"/>
        <w:jc w:val="both"/>
      </w:pPr>
      <w:r>
        <w:rPr>
          <w:rFonts w:ascii="Arial" w:cs="Arial" w:eastAsia="Arial" w:hAnsi="Arial"/>
          <w:sz w:val="24"/>
          <w:szCs w:val="24"/>
        </w:rPr>
        <w:t xml:space="preserve">в графе "01.05.2023 г." цифры "252,0" заменить цифрами "327,6";</w:t>
      </w:r>
    </w:p>
    <w:p>
      <w:pPr>
        <w:spacing w:after="60"/>
        <w:ind w:firstLine="567"/>
        <w:jc w:val="both"/>
      </w:pPr>
      <w:r>
        <w:rPr>
          <w:rFonts w:ascii="Arial" w:cs="Arial" w:eastAsia="Arial" w:hAnsi="Arial"/>
          <w:sz w:val="24"/>
          <w:szCs w:val="24"/>
        </w:rPr>
        <w:t xml:space="preserve">строку "Повышающий коэффициент" исключить;</w:t>
      </w:r>
    </w:p>
    <w:p>
      <w:pPr>
        <w:spacing w:after="60"/>
        <w:ind w:firstLine="567"/>
        <w:jc w:val="both"/>
      </w:pPr>
      <w:r>
        <w:rPr>
          <w:rFonts w:ascii="Arial" w:cs="Arial" w:eastAsia="Arial" w:hAnsi="Arial"/>
          <w:sz w:val="24"/>
          <w:szCs w:val="24"/>
        </w:rPr>
        <w:t xml:space="preserve">в подпункте 3.1 слова "Общественные и частные" исключить;</w:t>
      </w:r>
    </w:p>
    <w:p>
      <w:pPr>
        <w:spacing w:after="60"/>
        <w:ind w:firstLine="567"/>
        <w:jc w:val="both"/>
      </w:pPr>
      <w:r>
        <w:rPr>
          <w:rFonts w:ascii="Arial" w:cs="Arial" w:eastAsia="Arial" w:hAnsi="Arial"/>
          <w:sz w:val="24"/>
          <w:szCs w:val="24"/>
        </w:rPr>
        <w:t xml:space="preserve">подпункт 3.2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4052"/>
        <w:gridCol w:w="1405"/>
        <w:gridCol w:w="278"/>
        <w:gridCol w:w="278"/>
        <w:gridCol w:w="735"/>
        <w:gridCol w:w="1470"/>
        <w:gridCol w:w="1470"/>
      </w:tblGrid>
      <w:tr>
        <w:tc>
          <w:tcPr>
            <w:tcW w:type="dxa" w:w="490"/>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4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по зарядке электромобилей, использующие электроэнергию без ограничения потребления и мощности</w:t>
            </w:r>
          </w:p>
        </w:tc>
        <w:tc>
          <w:tcPr>
            <w:tcW w:type="dxa" w:w="1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442,0</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single" w:color="CBBF9E" w:sz="4"/>
              <w:left w:val="single" w:color="CBBF9E" w:sz="4"/>
              <w:bottom w:val="none" w:color="auto" w:sz="0"/>
              <w:right w:val="single" w:color="CBBF9E" w:sz="4"/>
            </w:tcBorders>
          </w:tcPr>
          <w:p/>
        </w:tc>
        <w:tc>
          <w:tcPr>
            <w:tcW w:type="dxa" w:w="4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10-14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2622"/>
        <w:gridCol w:w="1400"/>
        <w:gridCol w:w="733"/>
        <w:gridCol w:w="733"/>
        <w:gridCol w:w="733"/>
        <w:gridCol w:w="1759"/>
        <w:gridCol w:w="1759"/>
      </w:tblGrid>
      <w:tr>
        <w:tc>
          <w:tcPr>
            <w:tcW w:type="dxa" w:w="440"/>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Майнинг (крипто-валюта)</w:t>
            </w:r>
          </w:p>
        </w:tc>
        <w:tc>
          <w:tcPr>
            <w:tcW w:type="dxa" w:w="1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single" w:color="CBBF9E" w:sz="4"/>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Золоторудная промышленность</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Литейное производство</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промышленность</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504,0</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Цементное производство</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252,0</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327,6</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 + инфляция</w:t>
            </w:r>
          </w:p>
        </w:tc>
      </w:tr>
      <w:tr>
        <w:tc>
          <w:tcPr>
            <w:vMerge w:val="continue"/>
            <w:tcBorders>
              <w:top w:val="none" w:color="auto" w:sz="0"/>
              <w:left w:val="single" w:color="CBBF9E" w:sz="4"/>
              <w:bottom w:val="none" w:color="auto" w:sz="0"/>
              <w:right w:val="single" w:color="CBBF9E" w:sz="4"/>
            </w:tcBorders>
          </w:tcP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c>
          <w:tcPr>
            <w:tcW w:type="dxa" w:w="1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уровень инфляции</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p7qatenzcrzd2edhz-_q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Среднесрочной тарифной политике:</w:t>
      </w:r>
    </w:p>
    <w:p>
      <w:pPr>
        <w:spacing w:after="60"/>
        <w:ind w:firstLine="567"/>
        <w:jc w:val="both"/>
      </w:pPr>
      <w:r>
        <w:rPr>
          <w:rFonts w:ascii="Arial" w:cs="Arial" w:eastAsia="Arial" w:hAnsi="Arial"/>
          <w:sz w:val="24"/>
          <w:szCs w:val="24"/>
        </w:rPr>
        <w:t xml:space="preserve">в подпункте 1.6:</w:t>
      </w:r>
    </w:p>
    <w:p>
      <w:pPr>
        <w:spacing w:after="60"/>
        <w:ind w:firstLine="567"/>
        <w:jc w:val="both"/>
      </w:pPr>
      <w:r>
        <w:rPr>
          <w:rFonts w:ascii="Arial" w:cs="Arial" w:eastAsia="Arial" w:hAnsi="Arial"/>
          <w:sz w:val="24"/>
          <w:szCs w:val="24"/>
        </w:rPr>
        <w:t xml:space="preserve">в графе "01.05.2023 г." цифры "252,0" заменить цифрами "327,6";</w:t>
      </w:r>
    </w:p>
    <w:p>
      <w:pPr>
        <w:spacing w:after="60"/>
        <w:ind w:firstLine="567"/>
        <w:jc w:val="both"/>
      </w:pPr>
      <w:r>
        <w:rPr>
          <w:rFonts w:ascii="Arial" w:cs="Arial" w:eastAsia="Arial" w:hAnsi="Arial"/>
          <w:sz w:val="24"/>
          <w:szCs w:val="24"/>
        </w:rPr>
        <w:t xml:space="preserve">строку "Повышающий коэффициент" исключить;</w:t>
      </w:r>
    </w:p>
    <w:p>
      <w:pPr>
        <w:spacing w:after="60"/>
        <w:ind w:firstLine="567"/>
        <w:jc w:val="both"/>
      </w:pPr>
      <w:hyperlink w:history="1" r:id="rIdvlr2zeg-cbtlndlijej6h">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соответствии со </w:t>
      </w:r>
      <w:hyperlink w:history="1" r:id="rIdx2lhnokbmxglvmqk-7tpn">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оплата за электроэнергию, потребляемую населением, насосными станциями Токтогульского района и села Жазыкечуу города Кара-Куль, осуществляется по себестоимости электроэнергии, вырабатываемой Токтогульской ГЭС, с учетом норм потребления,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В целях исключения накладки льгот компенсация при оплате за электрическую энергию в размере 50%, установленная в соответствии с </w:t>
      </w:r>
      <w:hyperlink w:history="1" r:id="rId_d2_-nokxbhip9ly9yr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применяется на тариф, указанный в подпункте 1.2 настоящего приложения.";</w:t>
      </w:r>
    </w:p>
    <w:p>
      <w:pPr>
        <w:spacing w:after="60"/>
        <w:ind w:firstLine="567"/>
        <w:jc w:val="both"/>
      </w:pPr>
      <w:r>
        <w:rPr>
          <w:rFonts w:ascii="Arial" w:cs="Arial" w:eastAsia="Arial" w:hAnsi="Arial"/>
          <w:sz w:val="24"/>
          <w:szCs w:val="24"/>
        </w:rPr>
        <w:t xml:space="preserve">- </w:t>
      </w:r>
      <w:hyperlink w:history="1" r:id="rIdsdxkk7vrj4ry58l4hvwv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Среднесрочной тарифной политике изложить в редакции согласно </w:t>
      </w:r>
      <w:hyperlink w:history="1" r:id="rIdq8q6mqxznjbl9naoktwp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декабря 2023 года № 100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d7slckqv6aehgpipt9boe">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w:t>
      </w:r>
      <w:r>
        <w:rPr>
          <w:rFonts w:ascii="Arial" w:cs="Arial" w:eastAsia="Arial" w:hAnsi="Arial"/>
          <w:sz w:val="24"/>
          <w:szCs w:val="24"/>
        </w:rPr>
        <w:t xml:space="preserve">к Среднесрочной тарифной политике Кыргызской Республики на электрическую энергию на 2021-2025 годы</w:t>
      </w:r>
    </w:p>
    <w:p>
      <w:pPr>
        <w:spacing w:after="400" w:before="400"/>
        <w:jc w:val="center"/>
      </w:pPr>
      <w:r>
        <w:rPr>
          <w:rFonts w:ascii="Arial" w:cs="Arial" w:eastAsia="Arial" w:hAnsi="Arial"/>
          <w:b/>
          <w:bCs/>
          <w:sz w:val="32"/>
          <w:szCs w:val="32"/>
        </w:rPr>
        <w:t xml:space="preserve">ТАРИФ
 для производителей электрической энергии, вырабатываемой с использованием возобновляемых источников 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0"/>
        <w:gridCol w:w="1598"/>
        <w:gridCol w:w="995"/>
        <w:gridCol w:w="1647"/>
        <w:gridCol w:w="1647"/>
      </w:tblGrid>
      <w:tr>
        <w:tc>
          <w:tcPr>
            <w:tcW w:type="dxa" w:w="42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Группы потребителей</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01.06.2024 г.</w:t>
            </w:r>
          </w:p>
        </w:tc>
        <w:tc>
          <w:tcPr>
            <w:tcW w:type="dxa" w:w="16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01.06.2025 г.</w:t>
            </w:r>
          </w:p>
        </w:tc>
      </w:tr>
      <w:tr>
        <w:tc>
          <w:tcPr>
            <w:tcW w:type="dxa" w:w="4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Возобновляемые источники энергии</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Тариф для производителей электрической энергии, вырабатываемой с использованием возобновляемых источников энергии, умножается на соответствующий коэффициент по каждому виду установки в следующих размерах:</w:t>
      </w:r>
    </w:p>
    <w:p>
      <w:pPr>
        <w:spacing w:after="60"/>
        <w:ind w:firstLine="567"/>
        <w:jc w:val="both"/>
      </w:pPr>
      <w:r>
        <w:rPr>
          <w:rFonts w:ascii="Arial" w:cs="Arial" w:eastAsia="Arial" w:hAnsi="Arial"/>
          <w:sz w:val="24"/>
          <w:szCs w:val="24"/>
        </w:rPr>
        <w:t xml:space="preserve">1) для установок, использующих энергию воды, коэффициент равен 1,3;</w:t>
      </w:r>
    </w:p>
    <w:p>
      <w:pPr>
        <w:spacing w:after="60"/>
        <w:ind w:firstLine="567"/>
        <w:jc w:val="both"/>
      </w:pPr>
      <w:r>
        <w:rPr>
          <w:rFonts w:ascii="Arial" w:cs="Arial" w:eastAsia="Arial" w:hAnsi="Arial"/>
          <w:sz w:val="24"/>
          <w:szCs w:val="24"/>
        </w:rPr>
        <w:t xml:space="preserve">2) для установок, использующих энергию солнца, коэффициент равен 1,3;</w:t>
      </w:r>
    </w:p>
    <w:p>
      <w:pPr>
        <w:spacing w:after="60"/>
        <w:ind w:firstLine="567"/>
        <w:jc w:val="both"/>
      </w:pPr>
      <w:r>
        <w:rPr>
          <w:rFonts w:ascii="Arial" w:cs="Arial" w:eastAsia="Arial" w:hAnsi="Arial"/>
          <w:sz w:val="24"/>
          <w:szCs w:val="24"/>
        </w:rPr>
        <w:t xml:space="preserve">3) для установок, использующих энергию биомассы, коэффициент равен 1,3;</w:t>
      </w:r>
    </w:p>
    <w:p>
      <w:pPr>
        <w:spacing w:after="60"/>
        <w:ind w:firstLine="567"/>
        <w:jc w:val="both"/>
      </w:pPr>
      <w:r>
        <w:rPr>
          <w:rFonts w:ascii="Arial" w:cs="Arial" w:eastAsia="Arial" w:hAnsi="Arial"/>
          <w:sz w:val="24"/>
          <w:szCs w:val="24"/>
        </w:rPr>
        <w:t xml:space="preserve">4) для установок, использующих энергию ветра, коэффициент равен 1,3;</w:t>
      </w:r>
    </w:p>
    <w:p>
      <w:pPr>
        <w:spacing w:after="60"/>
        <w:ind w:firstLine="567"/>
        <w:jc w:val="both"/>
      </w:pPr>
      <w:r>
        <w:rPr>
          <w:rFonts w:ascii="Arial" w:cs="Arial" w:eastAsia="Arial" w:hAnsi="Arial"/>
          <w:sz w:val="24"/>
          <w:szCs w:val="24"/>
        </w:rPr>
        <w:t xml:space="preserve">5) для установок, использующих энергию земли, коэффициент равен 1,3.</w:t>
      </w:r>
    </w:p>
    <w:p>
      <w:pPr>
        <w:spacing w:after="60"/>
        <w:ind w:firstLine="567"/>
        <w:jc w:val="both"/>
      </w:pPr>
      <w:r>
        <w:rPr>
          <w:rFonts w:ascii="Arial" w:cs="Arial" w:eastAsia="Arial" w:hAnsi="Arial"/>
          <w:sz w:val="24"/>
          <w:szCs w:val="24"/>
        </w:rPr>
        <w:t xml:space="preserve">2. Тариф для производителей электрической энергии, вырабатываемой с использованием возобновляемых источников энергии, действует в течение срока действия льготного периода.".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0frjkbkzcms8qdvujn0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r>
        <w:rPr>
          <w:rFonts w:ascii="Arial" w:cs="Arial" w:eastAsia="Arial" w:hAnsi="Arial"/>
          <w:sz w:val="24"/>
          <w:szCs w:val="24"/>
        </w:rPr>
        <w:t xml:space="preserve">к Среднесрочной тарифной политике Кыргызской Республики на электрическую энергию на 2021-2025 годы</w:t>
      </w:r>
    </w:p>
    <w:p>
      <w:pPr>
        <w:spacing w:after="400" w:before="400"/>
        <w:jc w:val="center"/>
      </w:pPr>
      <w:r>
        <w:rPr>
          <w:rFonts w:ascii="Arial" w:cs="Arial" w:eastAsia="Arial" w:hAnsi="Arial"/>
          <w:b/>
          <w:bCs/>
          <w:sz w:val="32"/>
          <w:szCs w:val="32"/>
        </w:rPr>
        <w:t xml:space="preserve">ИНСТРУКЦИЯ
 по применению тарифов на электрическую энергию</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применения тарифов на электрическую энергию, утвержденных к применению уполномоченным органом по регулированию топливно-энергетического комплекса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60"/>
        <w:ind w:firstLine="567"/>
        <w:jc w:val="both"/>
      </w:pPr>
      <w:r>
        <w:rPr>
          <w:rFonts w:ascii="Arial" w:cs="Arial" w:eastAsia="Arial" w:hAnsi="Arial"/>
          <w:sz w:val="24"/>
          <w:szCs w:val="24"/>
        </w:rPr>
        <w:t xml:space="preserve">2. Уполномоченным государственным органом по регулированию топливно-энергетического комплекса является Департамент по регулированию топливно-энергетического комплекса при Министерстве энергетики Кыргызской Республики.</w:t>
      </w:r>
    </w:p>
    <w:p>
      <w:pPr>
        <w:spacing w:after="200" w:before="200"/>
        <w:jc w:val="center"/>
      </w:pPr>
      <w:r>
        <w:rPr>
          <w:rFonts w:ascii="Arial" w:cs="Arial" w:eastAsia="Arial" w:hAnsi="Arial"/>
          <w:b/>
          <w:bCs/>
          <w:sz w:val="32"/>
          <w:szCs w:val="32"/>
        </w:rPr>
        <w:t xml:space="preserve">Глава 2. Сфера применения тарифов</w:t>
      </w:r>
    </w:p>
    <w:p>
      <w:pPr>
        <w:spacing w:after="60"/>
        <w:ind w:firstLine="567"/>
        <w:jc w:val="both"/>
      </w:pPr>
      <w:r>
        <w:rPr>
          <w:rFonts w:ascii="Arial" w:cs="Arial" w:eastAsia="Arial" w:hAnsi="Arial"/>
          <w:sz w:val="24"/>
          <w:szCs w:val="24"/>
        </w:rPr>
        <w:t xml:space="preserve">3.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60"/>
        <w:ind w:firstLine="567"/>
        <w:jc w:val="both"/>
      </w:pPr>
      <w:r>
        <w:rPr>
          <w:rFonts w:ascii="Arial" w:cs="Arial" w:eastAsia="Arial" w:hAnsi="Arial"/>
          <w:sz w:val="24"/>
          <w:szCs w:val="24"/>
        </w:rPr>
        <w:t xml:space="preserve">4. Применение установленных тарифов на электрическую энергию осуществляется в течение срока, предусмотренного сроком реализации ССТП.</w:t>
      </w:r>
    </w:p>
    <w:p>
      <w:pPr>
        <w:spacing w:after="60"/>
        <w:ind w:firstLine="567"/>
        <w:jc w:val="both"/>
      </w:pPr>
      <w:r>
        <w:rPr>
          <w:rFonts w:ascii="Arial" w:cs="Arial" w:eastAsia="Arial" w:hAnsi="Arial"/>
          <w:sz w:val="24"/>
          <w:szCs w:val="24"/>
        </w:rPr>
        <w:t xml:space="preserve">5.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60"/>
        <w:ind w:firstLine="567"/>
        <w:jc w:val="both"/>
      </w:pPr>
      <w:r>
        <w:rPr>
          <w:rFonts w:ascii="Arial" w:cs="Arial" w:eastAsia="Arial" w:hAnsi="Arial"/>
          <w:sz w:val="24"/>
          <w:szCs w:val="24"/>
        </w:rPr>
        <w:t xml:space="preserve">6.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200" w:before="200"/>
        <w:jc w:val="center"/>
      </w:pPr>
      <w:r>
        <w:rPr>
          <w:rFonts w:ascii="Arial" w:cs="Arial" w:eastAsia="Arial" w:hAnsi="Arial"/>
          <w:b/>
          <w:bCs/>
          <w:sz w:val="32"/>
          <w:szCs w:val="32"/>
        </w:rPr>
        <w:t xml:space="preserve">Глава 3. Виды тарифов</w:t>
      </w:r>
    </w:p>
    <w:p>
      <w:pPr>
        <w:spacing w:after="60"/>
        <w:ind w:firstLine="567"/>
        <w:jc w:val="both"/>
      </w:pPr>
      <w:r>
        <w:rPr>
          <w:rFonts w:ascii="Arial" w:cs="Arial" w:eastAsia="Arial" w:hAnsi="Arial"/>
          <w:sz w:val="24"/>
          <w:szCs w:val="24"/>
        </w:rPr>
        <w:t xml:space="preserve">7.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w:t>
      </w:r>
    </w:p>
    <w:p>
      <w:pPr>
        <w:spacing w:after="60"/>
        <w:ind w:firstLine="567"/>
        <w:jc w:val="both"/>
      </w:pPr>
      <w:r>
        <w:rPr>
          <w:rFonts w:ascii="Arial" w:cs="Arial" w:eastAsia="Arial" w:hAnsi="Arial"/>
          <w:sz w:val="24"/>
          <w:szCs w:val="24"/>
        </w:rPr>
        <w:t xml:space="preserve">1) тариф для группы потребителей "Население" применяется в размере, указанном в подпункте 1.1 </w:t>
      </w:r>
      <w:hyperlink w:history="1" r:id="rId0gnzqimh6etyd8s3n_uf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2) тариф для группы потребителей "Население" (кроме населения, проживающего в высокогорных и отдаленных труднодоступных зонах) при потреблении электроэнергии свыше 700 кВт.ч за месяц применяется в размере, указанном в подпункте 1.2 </w:t>
      </w:r>
      <w:hyperlink w:history="1" r:id="rIdqdw3hjktsxbdptv0skgm4">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 тариф для группы потребителей "Население", проживающих в высокогорных и отдаленных труднодоступных зонах, применяется в размере, указанном в подпункте 1.3 </w:t>
      </w:r>
      <w:hyperlink w:history="1" r:id="rIduthk2eecl0xo9q2hcik_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(включая население, проживающее в высокогорных и отдаленных труднодоступных зонах), при потреблении электроэнергии до 700 кВт.ч в месяц применяется в размере, указанном в подпункте 1.4 </w:t>
      </w:r>
      <w:hyperlink w:history="1" r:id="rIda2rgqsfbd91gdbyd2-uo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при потреблении электроэнергии свыше 700 кВт.ч в месяц применяется в размере, указанном в подпункте 1.5 </w:t>
      </w:r>
      <w:hyperlink w:history="1" r:id="rIdr7x-w07nvsmgwduuzdkz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проживающие в высокогорных и отдаленных труднодоступных зонах, при потреблении электроэнергии свыше 700 кВт.ч в месяц применяется в размере, указанном в подпункте 1.3 </w:t>
      </w:r>
      <w:hyperlink w:history="1" r:id="rIdj5m4sbn-tdrhwqlhy6tf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7)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tp4mu4cv2y7ssimmlste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 тарифы для группы потребителей "Население" Токтогульского района Джалал-Абадской области и села Жазы-Кечуу города Кара-Куль и города Кара-Куль:</w:t>
      </w:r>
    </w:p>
    <w:p>
      <w:pPr>
        <w:spacing w:after="60"/>
        <w:ind w:firstLine="567"/>
        <w:jc w:val="both"/>
      </w:pPr>
      <w:r>
        <w:rPr>
          <w:rFonts w:ascii="Arial" w:cs="Arial" w:eastAsia="Arial" w:hAnsi="Arial"/>
          <w:sz w:val="24"/>
          <w:szCs w:val="24"/>
        </w:rPr>
        <w:t xml:space="preserve">- при потреблении до 150 кВт.ч в месяц применяется в размере, указанном в подпункте 1.1 </w:t>
      </w:r>
      <w:hyperlink w:history="1" r:id="rIdtukwnbwrfbsi0usqjsx2s">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малообеспеченные семьи, получающие ежемесячное пособие нуждающимся гражданам (семьям), имеющим детей до 16 лет, - "уй-булого комок") применяется в размере, указанном в подпункте 1.2 </w:t>
      </w:r>
      <w:hyperlink w:history="1" r:id="rIdd-xjncmkl2l9wnfk2tnqt">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1.3 </w:t>
      </w:r>
      <w:hyperlink w:history="1" r:id="rIdwunqhu1bksj5s20joh4q_">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1.4 </w:t>
      </w:r>
      <w:hyperlink w:history="1" r:id="rId0hovrsebrglxpffoaeuv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1.5 </w:t>
      </w:r>
      <w:hyperlink w:history="1" r:id="rId6xhwmn64t85sydsntgxk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1.4 </w:t>
      </w:r>
      <w:hyperlink w:history="1" r:id="rId6sgnfponz098kajnjcsv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9)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q2a2zamygbdgytojbokj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10) социально-ориентированный тариф для группы потребителей "Насосные станции" применяется в размере, указанном в пункте 2 </w:t>
      </w:r>
      <w:hyperlink w:history="1" r:id="rIdcrccg25wp41rbtbkxejr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11) тарифы для групп потребителей "Электрический транспорт", "Детские учреждения интернатного типа, социальные стационарные и полустационарные учреждения для инвалидов и/или пожилых граждан", "Религиозные организации" применяются в размерах, указанных в пунктах 3, 4 и 5 </w:t>
      </w:r>
      <w:hyperlink w:history="1" r:id="rIdbomggp5wkxadkug6xxo8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12) тарифы для остальных групп небытовых потребителей, за исключением групп потребителей "Майнинг (криптовалюта)", "Золоторудная промышленность", "Литейное производство", "Цементное производство" и "Алкогольная промышленность", применяются в размерах, указанных в пунктах 6, 7, 8, 9 </w:t>
      </w:r>
      <w:hyperlink w:history="1" r:id="rIdpl6vrht-6lcl5h_fczhc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13) тариф для группы потребителей "Майнинг (криптовалюта)" применяется в размере, указанном в пункте 10 </w:t>
      </w:r>
      <w:hyperlink w:history="1" r:id="rIdn5066zje0tgqo1wtk66cg">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14) тариф для группы потребителей "Золоторудная промышленность" применяется в размере, указанном в пункте 11 </w:t>
      </w:r>
      <w:hyperlink w:history="1" r:id="rIdqbdoptq5f4xmklfgcc5i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15) тариф для группы потребителей "Литейное производство" применятся в размере, указанном в пункте 12 </w:t>
      </w:r>
      <w:hyperlink w:history="1" r:id="rIdzx8pp89x_bp2cnruicwvv">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16) тариф для группы потребителей "Алкогольная промышленность" применяется в размере, указанном в пункте 13 </w:t>
      </w:r>
      <w:hyperlink w:history="1" r:id="rId6lef7uaefdptogg8tknf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17) тариф для группы потребителей "Цементное производство" применяется в размере, указанном в пункте 14 </w:t>
      </w:r>
      <w:hyperlink w:history="1" r:id="rIdftx2qxm98ag70oa9gs_r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Дифференцированный тариф определяет стоимость 1-го кВт.ч активной энергии, потребленной в соответствии с установленным для каждого временного периода суток коэффициентом.</w:t>
      </w:r>
    </w:p>
    <w:p>
      <w:pPr>
        <w:spacing w:after="60"/>
        <w:ind w:firstLine="56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60"/>
        <w:ind w:firstLine="567"/>
        <w:jc w:val="both"/>
      </w:pPr>
      <w:r>
        <w:rPr>
          <w:rFonts w:ascii="Arial" w:cs="Arial" w:eastAsia="Arial" w:hAnsi="Arial"/>
          <w:sz w:val="24"/>
          <w:szCs w:val="24"/>
        </w:rPr>
        <w:t xml:space="preserve">9. Тарифы на электроэнергию, дифференцированные по времени суток, применяются электроснабжающими организациями для потребителей группы "Население",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60"/>
        <w:ind w:firstLine="567"/>
        <w:jc w:val="both"/>
      </w:pPr>
      <w:r>
        <w:rPr>
          <w:rFonts w:ascii="Arial" w:cs="Arial" w:eastAsia="Arial" w:hAnsi="Arial"/>
          <w:sz w:val="24"/>
          <w:szCs w:val="24"/>
        </w:rPr>
        <w:t xml:space="preserve">10.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60"/>
        <w:ind w:firstLine="567"/>
        <w:jc w:val="both"/>
      </w:pPr>
      <w:r>
        <w:rPr>
          <w:rFonts w:ascii="Arial" w:cs="Arial" w:eastAsia="Arial" w:hAnsi="Arial"/>
          <w:sz w:val="24"/>
          <w:szCs w:val="24"/>
        </w:rPr>
        <w:t xml:space="preserve">1) плата за весь объем потребленной электроэнергии начисляется по действующему в данный период времени тарифу, установленному на объем электроэнергии, превышающий объем потребления в 700 кВт.ч;</w:t>
      </w:r>
    </w:p>
    <w:p>
      <w:pPr>
        <w:spacing w:after="60"/>
        <w:ind w:firstLine="56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60"/>
        <w:ind w:firstLine="567"/>
        <w:jc w:val="both"/>
      </w:pPr>
      <w:r>
        <w:rPr>
          <w:rFonts w:ascii="Arial" w:cs="Arial" w:eastAsia="Arial" w:hAnsi="Arial"/>
          <w:sz w:val="24"/>
          <w:szCs w:val="24"/>
        </w:rPr>
        <w:t xml:space="preserve">- коэффициент для ночной зоны (с 23:00 до 07:00 часов) - 0,5;</w:t>
      </w:r>
    </w:p>
    <w:p>
      <w:pPr>
        <w:spacing w:after="60"/>
        <w:ind w:firstLine="567"/>
        <w:jc w:val="both"/>
      </w:pPr>
      <w:r>
        <w:rPr>
          <w:rFonts w:ascii="Arial" w:cs="Arial" w:eastAsia="Arial" w:hAnsi="Arial"/>
          <w:sz w:val="24"/>
          <w:szCs w:val="24"/>
        </w:rPr>
        <w:t xml:space="preserve">- коэффициент для дневной зоны с (07:00 до 23:00 часов) - 1,0.</w:t>
      </w:r>
    </w:p>
    <w:p>
      <w:pPr>
        <w:spacing w:after="200" w:before="200"/>
        <w:jc w:val="center"/>
      </w:pPr>
      <w:r>
        <w:rPr>
          <w:rFonts w:ascii="Arial" w:cs="Arial" w:eastAsia="Arial" w:hAnsi="Arial"/>
          <w:b/>
          <w:bCs/>
          <w:sz w:val="32"/>
          <w:szCs w:val="32"/>
        </w:rPr>
        <w:t xml:space="preserve">Глава 4. Группы потребителей</w:t>
      </w:r>
    </w:p>
    <w:p>
      <w:pPr>
        <w:spacing w:after="60"/>
        <w:ind w:firstLine="567"/>
        <w:jc w:val="both"/>
      </w:pPr>
      <w:r>
        <w:rPr>
          <w:rFonts w:ascii="Arial" w:cs="Arial" w:eastAsia="Arial" w:hAnsi="Arial"/>
          <w:sz w:val="24"/>
          <w:szCs w:val="24"/>
        </w:rPr>
        <w:t xml:space="preserve">11. Все конечные потребители электрической энергии подразделяются на 14 тарифных групп по назначению потребляемой электроэнергии:</w:t>
      </w:r>
    </w:p>
    <w:p>
      <w:pPr>
        <w:spacing w:after="60"/>
        <w:ind w:firstLine="567"/>
        <w:jc w:val="both"/>
      </w:pPr>
      <w:r>
        <w:rPr>
          <w:rFonts w:ascii="Arial" w:cs="Arial" w:eastAsia="Arial" w:hAnsi="Arial"/>
          <w:sz w:val="24"/>
          <w:szCs w:val="24"/>
        </w:rPr>
        <w:t xml:space="preserve">1) группа "Население";</w:t>
      </w:r>
    </w:p>
    <w:p>
      <w:pPr>
        <w:spacing w:after="60"/>
        <w:ind w:firstLine="567"/>
        <w:jc w:val="both"/>
      </w:pPr>
      <w:r>
        <w:rPr>
          <w:rFonts w:ascii="Arial" w:cs="Arial" w:eastAsia="Arial" w:hAnsi="Arial"/>
          <w:sz w:val="24"/>
          <w:szCs w:val="24"/>
        </w:rPr>
        <w:t xml:space="preserve">2) группа "Насосные станции";</w:t>
      </w:r>
    </w:p>
    <w:p>
      <w:pPr>
        <w:spacing w:after="60"/>
        <w:ind w:firstLine="567"/>
        <w:jc w:val="both"/>
      </w:pPr>
      <w:r>
        <w:rPr>
          <w:rFonts w:ascii="Arial" w:cs="Arial" w:eastAsia="Arial" w:hAnsi="Arial"/>
          <w:sz w:val="24"/>
          <w:szCs w:val="24"/>
        </w:rPr>
        <w:t xml:space="preserve">3) группа "Электрический транспорт";</w:t>
      </w:r>
    </w:p>
    <w:p>
      <w:pPr>
        <w:spacing w:after="60"/>
        <w:ind w:firstLine="567"/>
        <w:jc w:val="both"/>
      </w:pPr>
      <w:r>
        <w:rPr>
          <w:rFonts w:ascii="Arial" w:cs="Arial" w:eastAsia="Arial" w:hAnsi="Arial"/>
          <w:sz w:val="24"/>
          <w:szCs w:val="24"/>
        </w:rPr>
        <w:t xml:space="preserve">4) группа "Детские учреждения интернатного типа, социальные стационарные и полустационарные учреждения для инвалидов и/или пожилых граждан";</w:t>
      </w:r>
    </w:p>
    <w:p>
      <w:pPr>
        <w:spacing w:after="60"/>
        <w:ind w:firstLine="567"/>
        <w:jc w:val="both"/>
      </w:pPr>
      <w:r>
        <w:rPr>
          <w:rFonts w:ascii="Arial" w:cs="Arial" w:eastAsia="Arial" w:hAnsi="Arial"/>
          <w:sz w:val="24"/>
          <w:szCs w:val="24"/>
        </w:rPr>
        <w:t xml:space="preserve">5) группа "Религиозные организации";</w:t>
      </w:r>
    </w:p>
    <w:p>
      <w:pPr>
        <w:spacing w:after="60"/>
        <w:ind w:firstLine="56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7) группа "Сельское хозяйство";</w:t>
      </w:r>
    </w:p>
    <w:p>
      <w:pPr>
        <w:spacing w:after="60"/>
        <w:ind w:firstLine="567"/>
        <w:jc w:val="both"/>
      </w:pPr>
      <w:r>
        <w:rPr>
          <w:rFonts w:ascii="Arial" w:cs="Arial" w:eastAsia="Arial" w:hAnsi="Arial"/>
          <w:sz w:val="24"/>
          <w:szCs w:val="24"/>
        </w:rPr>
        <w:t xml:space="preserve">8) группа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9) группа "Прочие потребители";</w:t>
      </w:r>
    </w:p>
    <w:p>
      <w:pPr>
        <w:spacing w:after="60"/>
        <w:ind w:firstLine="567"/>
        <w:jc w:val="both"/>
      </w:pPr>
      <w:r>
        <w:rPr>
          <w:rFonts w:ascii="Arial" w:cs="Arial" w:eastAsia="Arial" w:hAnsi="Arial"/>
          <w:sz w:val="24"/>
          <w:szCs w:val="24"/>
        </w:rPr>
        <w:t xml:space="preserve">10) группа "Майнинг (криптовалюта)";</w:t>
      </w:r>
    </w:p>
    <w:p>
      <w:pPr>
        <w:spacing w:after="60"/>
        <w:ind w:firstLine="567"/>
        <w:jc w:val="both"/>
      </w:pPr>
      <w:r>
        <w:rPr>
          <w:rFonts w:ascii="Arial" w:cs="Arial" w:eastAsia="Arial" w:hAnsi="Arial"/>
          <w:sz w:val="24"/>
          <w:szCs w:val="24"/>
        </w:rPr>
        <w:t xml:space="preserve">11) группа "Золоторудная промышленность";</w:t>
      </w:r>
    </w:p>
    <w:p>
      <w:pPr>
        <w:spacing w:after="60"/>
        <w:ind w:firstLine="567"/>
        <w:jc w:val="both"/>
      </w:pPr>
      <w:r>
        <w:rPr>
          <w:rFonts w:ascii="Arial" w:cs="Arial" w:eastAsia="Arial" w:hAnsi="Arial"/>
          <w:sz w:val="24"/>
          <w:szCs w:val="24"/>
        </w:rPr>
        <w:t xml:space="preserve">12) группа "Литейное производство";</w:t>
      </w:r>
    </w:p>
    <w:p>
      <w:pPr>
        <w:spacing w:after="60"/>
        <w:ind w:firstLine="567"/>
        <w:jc w:val="both"/>
      </w:pPr>
      <w:r>
        <w:rPr>
          <w:rFonts w:ascii="Arial" w:cs="Arial" w:eastAsia="Arial" w:hAnsi="Arial"/>
          <w:sz w:val="24"/>
          <w:szCs w:val="24"/>
        </w:rPr>
        <w:t xml:space="preserve">13) группа "Алкогольная промышленность";</w:t>
      </w:r>
    </w:p>
    <w:p>
      <w:pPr>
        <w:spacing w:after="60"/>
        <w:ind w:firstLine="567"/>
        <w:jc w:val="both"/>
      </w:pPr>
      <w:r>
        <w:rPr>
          <w:rFonts w:ascii="Arial" w:cs="Arial" w:eastAsia="Arial" w:hAnsi="Arial"/>
          <w:sz w:val="24"/>
          <w:szCs w:val="24"/>
        </w:rPr>
        <w:t xml:space="preserve">14) группа "Цементное производство".</w:t>
      </w:r>
    </w:p>
    <w:p>
      <w:pPr>
        <w:spacing w:after="60"/>
        <w:ind w:firstLine="567"/>
        <w:jc w:val="both"/>
      </w:pPr>
      <w:r>
        <w:rPr>
          <w:rFonts w:ascii="Arial" w:cs="Arial" w:eastAsia="Arial" w:hAnsi="Arial"/>
          <w:sz w:val="24"/>
          <w:szCs w:val="24"/>
        </w:rPr>
        <w:t xml:space="preserve">12. Все группы потребителей, не относящиеся к группе "Население", относятся к небытовым потребителям.</w:t>
      </w:r>
    </w:p>
    <w:p>
      <w:pPr>
        <w:spacing w:after="200" w:before="200"/>
        <w:jc w:val="center"/>
      </w:pPr>
      <w:r>
        <w:rPr>
          <w:rFonts w:ascii="Arial" w:cs="Arial" w:eastAsia="Arial" w:hAnsi="Arial"/>
          <w:b/>
          <w:bCs/>
          <w:sz w:val="32"/>
          <w:szCs w:val="32"/>
        </w:rPr>
        <w:t xml:space="preserve">Глава 5. Применение тарифов на электрическую энергию, отпускаемую группе "Население"</w:t>
      </w:r>
    </w:p>
    <w:p>
      <w:pPr>
        <w:spacing w:after="60"/>
        <w:ind w:firstLine="567"/>
        <w:jc w:val="both"/>
      </w:pPr>
      <w:r>
        <w:rPr>
          <w:rFonts w:ascii="Arial" w:cs="Arial" w:eastAsia="Arial" w:hAnsi="Arial"/>
          <w:sz w:val="24"/>
          <w:szCs w:val="24"/>
        </w:rPr>
        <w:t xml:space="preserve">13.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60"/>
        <w:ind w:firstLine="567"/>
        <w:jc w:val="both"/>
      </w:pPr>
      <w:r>
        <w:rPr>
          <w:rFonts w:ascii="Arial" w:cs="Arial" w:eastAsia="Arial" w:hAnsi="Arial"/>
          <w:sz w:val="24"/>
          <w:szCs w:val="24"/>
        </w:rPr>
        <w:t xml:space="preserve">14.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60"/>
        <w:ind w:firstLine="567"/>
        <w:jc w:val="both"/>
      </w:pPr>
      <w:r>
        <w:rPr>
          <w:rFonts w:ascii="Arial" w:cs="Arial" w:eastAsia="Arial" w:hAnsi="Arial"/>
          <w:sz w:val="24"/>
          <w:szCs w:val="24"/>
        </w:rPr>
        <w:t xml:space="preserve">15.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должны быть указаны сроки и длительность сдачи жилых домов и помещений в аренду.</w:t>
      </w:r>
    </w:p>
    <w:p>
      <w:pPr>
        <w:spacing w:after="60"/>
        <w:ind w:firstLine="56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1.4 </w:t>
      </w:r>
      <w:hyperlink w:history="1" r:id="rIdw-dz4uzh-umk_iif5wlt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не требуется заключение отдельного договора.</w:t>
      </w:r>
    </w:p>
    <w:p>
      <w:pPr>
        <w:spacing w:after="60"/>
        <w:ind w:firstLine="567"/>
        <w:jc w:val="both"/>
      </w:pPr>
      <w:r>
        <w:rPr>
          <w:rFonts w:ascii="Arial" w:cs="Arial" w:eastAsia="Arial" w:hAnsi="Arial"/>
          <w:sz w:val="24"/>
          <w:szCs w:val="24"/>
        </w:rPr>
        <w:t xml:space="preserve">16.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17.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60"/>
        <w:ind w:firstLine="567"/>
        <w:jc w:val="both"/>
      </w:pPr>
      <w:r>
        <w:rPr>
          <w:rFonts w:ascii="Arial" w:cs="Arial" w:eastAsia="Arial" w:hAnsi="Arial"/>
          <w:sz w:val="24"/>
          <w:szCs w:val="24"/>
        </w:rPr>
        <w:t xml:space="preserve">700 кВт.ч * 12 мес. / 365 дней = 23,014 кВт.ч.</w:t>
      </w:r>
    </w:p>
    <w:p>
      <w:pPr>
        <w:spacing w:after="60"/>
        <w:ind w:firstLine="567"/>
        <w:jc w:val="both"/>
      </w:pPr>
      <w:r>
        <w:rPr>
          <w:rFonts w:ascii="Arial" w:cs="Arial" w:eastAsia="Arial" w:hAnsi="Arial"/>
          <w:sz w:val="24"/>
          <w:szCs w:val="24"/>
        </w:rPr>
        <w:t xml:space="preserve">18.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60"/>
        <w:ind w:firstLine="567"/>
        <w:jc w:val="both"/>
      </w:pPr>
      <w:r>
        <w:rPr>
          <w:rFonts w:ascii="Arial" w:cs="Arial" w:eastAsia="Arial" w:hAnsi="Arial"/>
          <w:sz w:val="24"/>
          <w:szCs w:val="24"/>
        </w:rPr>
        <w:t xml:space="preserve">19.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60"/>
        <w:ind w:firstLine="56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60"/>
        <w:ind w:firstLine="567"/>
        <w:jc w:val="both"/>
      </w:pPr>
      <w:r>
        <w:rPr>
          <w:rFonts w:ascii="Arial" w:cs="Arial" w:eastAsia="Arial" w:hAnsi="Arial"/>
          <w:sz w:val="24"/>
          <w:szCs w:val="24"/>
        </w:rPr>
        <w:t xml:space="preserve">- по последнему месту жительства - прекращается с первого числа месяца, следующего за месяцем, в котором произошли такие изменения;</w:t>
      </w:r>
    </w:p>
    <w:p>
      <w:pPr>
        <w:spacing w:after="60"/>
        <w:ind w:firstLine="567"/>
        <w:jc w:val="both"/>
      </w:pPr>
      <w:r>
        <w:rPr>
          <w:rFonts w:ascii="Arial" w:cs="Arial" w:eastAsia="Arial" w:hAnsi="Arial"/>
          <w:sz w:val="24"/>
          <w:szCs w:val="24"/>
        </w:rPr>
        <w:t xml:space="preserve">- по новому месту жительства - начинается с первого числа месяца, следующего за месяцем, в течение которого абонент начал проживание.</w:t>
      </w:r>
    </w:p>
    <w:p>
      <w:pPr>
        <w:spacing w:after="60"/>
        <w:ind w:firstLine="567"/>
        <w:jc w:val="both"/>
      </w:pPr>
      <w:r>
        <w:rPr>
          <w:rFonts w:ascii="Arial" w:cs="Arial" w:eastAsia="Arial" w:hAnsi="Arial"/>
          <w:sz w:val="24"/>
          <w:szCs w:val="24"/>
        </w:rPr>
        <w:t xml:space="preserve">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60"/>
        <w:ind w:firstLine="56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60"/>
        <w:ind w:firstLine="567"/>
        <w:jc w:val="both"/>
      </w:pPr>
      <w:r>
        <w:rPr>
          <w:rFonts w:ascii="Arial" w:cs="Arial" w:eastAsia="Arial" w:hAnsi="Arial"/>
          <w:sz w:val="24"/>
          <w:szCs w:val="24"/>
        </w:rPr>
        <w:t xml:space="preserve">20. Тариф для группы потребителей "Население, использующее электроэнергию без ограничения потребления и мощности"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60"/>
        <w:ind w:firstLine="56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60"/>
        <w:ind w:firstLine="56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1.2 </w:t>
      </w:r>
      <w:hyperlink w:history="1" r:id="rIda43qh3gd4xjgvzsxriuv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1.3 </w:t>
      </w:r>
      <w:hyperlink w:history="1" r:id="rIdb1j4gnz4phztvzviwssi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60"/>
        <w:ind w:firstLine="56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60"/>
        <w:ind w:firstLine="56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60"/>
        <w:ind w:firstLine="56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выше 700 кВт.ч.</w:t>
      </w:r>
    </w:p>
    <w:p>
      <w:pPr>
        <w:spacing w:after="60"/>
        <w:ind w:firstLine="56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"Насосные станции", обеспечивающих полив сельскохозяйственных угодий.</w:t>
      </w:r>
    </w:p>
    <w:p>
      <w:pPr>
        <w:spacing w:after="60"/>
        <w:ind w:firstLine="56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расчет производится по общему прибору учета (общежития, жилые дома гостиничного типа с общим учетом и так далее).</w:t>
      </w:r>
    </w:p>
    <w:p>
      <w:pPr>
        <w:spacing w:after="60"/>
        <w:ind w:firstLine="56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60"/>
        <w:ind w:firstLine="56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свыше 700 кВт.ч.</w:t>
      </w:r>
    </w:p>
    <w:p>
      <w:pPr>
        <w:spacing w:after="60"/>
        <w:ind w:firstLine="56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 по наименьшему из применяемых к ним тарифам. В случаях, когда по головному учету рассчитываются потребители группы "Население", расчет за потери в элементах сети потребителя производится по первой ступени тарифа. Потери в сетях потребителя в объеме до 700 кВт.ч потребления электроэнергии каждого абонента не включаются.</w:t>
      </w:r>
    </w:p>
    <w:p>
      <w:pPr>
        <w:spacing w:after="60"/>
        <w:ind w:firstLine="56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(подъездное освещение, лифтовое электропотребление, повышающие и понижающие насосы и т.д.) производится по первой ступени тарифа для группы "Население" и не учитывается в объеме до 700 кВт.ч электроэнергии каждого абонента.</w:t>
      </w:r>
    </w:p>
    <w:p>
      <w:pPr>
        <w:spacing w:after="60"/>
        <w:ind w:firstLine="56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первой ступени тарифа, установленного для группы потребителей "Население" в размере 700 кВт.ч, плата за остальной объем рассчитывается по второй ступени для группы "Население".</w:t>
      </w:r>
    </w:p>
    <w:p>
      <w:pPr>
        <w:spacing w:after="60"/>
        <w:ind w:firstLine="56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60"/>
        <w:ind w:firstLine="56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200" w:before="200"/>
        <w:jc w:val="center"/>
      </w:pPr>
      <w:r>
        <w:rPr>
          <w:rFonts w:ascii="Arial" w:cs="Arial" w:eastAsia="Arial" w:hAnsi="Arial"/>
          <w:b/>
          <w:bCs/>
          <w:sz w:val="32"/>
          <w:szCs w:val="32"/>
        </w:rPr>
        <w:t xml:space="preserve">Глава 6. Применение тарифов на электрическую энергию, отпускаемую группе "Насосные станции"</w:t>
      </w:r>
    </w:p>
    <w:p>
      <w:pPr>
        <w:spacing w:after="60"/>
        <w:ind w:firstLine="567"/>
        <w:jc w:val="both"/>
      </w:pPr>
      <w:r>
        <w:rPr>
          <w:rFonts w:ascii="Arial" w:cs="Arial" w:eastAsia="Arial" w:hAnsi="Arial"/>
          <w:sz w:val="24"/>
          <w:szCs w:val="24"/>
        </w:rPr>
        <w:t xml:space="preserve">33. Отпуск электрической энергии для группы потребителей "Насосные станции" производится по социально-ориентированному тарифу в размере, указанном в пункте 2 </w:t>
      </w:r>
      <w:hyperlink w:history="1" r:id="rId4svo3mj4-u4dfpabncov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34. Отпуск электрической энергии для группы потребителей "Насосные станции" Токтогульского района Джалал-Абадской области и села Жазы-Кечуу г.Кара-Куль и г.Кара-Куль производится по социально-ориентированному тарифу в размере, указанном в пункте 2 </w:t>
      </w:r>
      <w:hyperlink w:history="1" r:id="rIdquqlo2jpbveqw4nt-5tyy">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35. Начисление платы за электрическую энергию, потребленную насосными станциями, обеспечивающими полив сельскохозяйственных угодий и население питьевой водой, производится по тарифу, установленному уполномоченным государственным органом по регулированию топливно-энергетического комплекса для данной группы.</w:t>
      </w:r>
    </w:p>
    <w:p>
      <w:pPr>
        <w:spacing w:after="60"/>
        <w:ind w:firstLine="567"/>
        <w:jc w:val="both"/>
      </w:pPr>
      <w:r>
        <w:rPr>
          <w:rFonts w:ascii="Arial" w:cs="Arial" w:eastAsia="Arial" w:hAnsi="Arial"/>
          <w:sz w:val="24"/>
          <w:szCs w:val="24"/>
        </w:rPr>
        <w:t xml:space="preserve">36. К потребителям группы "Насосные станции" относятся следующие конечные потребители:</w:t>
      </w:r>
    </w:p>
    <w:p>
      <w:pPr>
        <w:spacing w:after="60"/>
        <w:ind w:firstLine="56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60"/>
        <w:ind w:firstLine="56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60"/>
        <w:ind w:firstLine="56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60"/>
        <w:ind w:firstLine="56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капельное орошение.</w:t>
      </w:r>
    </w:p>
    <w:p>
      <w:pPr>
        <w:spacing w:after="200" w:before="200"/>
        <w:jc w:val="center"/>
      </w:pPr>
      <w:r>
        <w:rPr>
          <w:rFonts w:ascii="Arial" w:cs="Arial" w:eastAsia="Arial" w:hAnsi="Arial"/>
          <w:b/>
          <w:bCs/>
          <w:sz w:val="32"/>
          <w:szCs w:val="32"/>
        </w:rPr>
        <w:t xml:space="preserve">Глава 7. Применение тарифов на электрическую энергию, отпускаемую группе "Электрический транспорт"</w:t>
      </w:r>
    </w:p>
    <w:p>
      <w:pPr>
        <w:spacing w:after="60"/>
        <w:ind w:firstLine="567"/>
        <w:jc w:val="both"/>
      </w:pPr>
      <w:r>
        <w:rPr>
          <w:rFonts w:ascii="Arial" w:cs="Arial" w:eastAsia="Arial" w:hAnsi="Arial"/>
          <w:sz w:val="24"/>
          <w:szCs w:val="24"/>
        </w:rPr>
        <w:t xml:space="preserve">37. Отпуск электрической энергии потребителям группы "Электрический транспорт"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38. Плата для потребителей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 за потребленную электроэнергию производится по тарифу, указанному в пункте 3 </w:t>
      </w:r>
      <w:hyperlink w:history="1" r:id="rIdr4l1r_yiijeqdgat-de4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39. Плата за потребленную электроэнергию для потребителей "Станции по зарядке электромобилей с установленной мощностью до 23 кВт" производится по тарифу, указанному в подпункте 3.1 </w:t>
      </w:r>
      <w:hyperlink w:history="1" r:id="rIddpslxnpmm1wrudxzzzmq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40. Плата за потребленную электроэнергию для потребителей "Станции по зарядке электромобилей, использующие электроэнергию без ограничения потребления и мощности" производится по тарифу, указанному в подпункте 3.2 </w:t>
      </w:r>
      <w:hyperlink w:history="1" r:id="rIdanndnbpcw87utk5hy9rr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41. К потребителям группы "Электрический транспорт" относятся следующие конечные потребители:</w:t>
      </w:r>
    </w:p>
    <w:p>
      <w:pPr>
        <w:spacing w:after="60"/>
        <w:ind w:firstLine="567"/>
        <w:jc w:val="both"/>
      </w:pPr>
      <w:r>
        <w:rPr>
          <w:rFonts w:ascii="Arial" w:cs="Arial" w:eastAsia="Arial" w:hAnsi="Arial"/>
          <w:sz w:val="24"/>
          <w:szCs w:val="24"/>
        </w:rPr>
        <w:t xml:space="preserve">1)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w:t>
      </w:r>
    </w:p>
    <w:p>
      <w:pPr>
        <w:spacing w:after="60"/>
        <w:ind w:firstLine="567"/>
        <w:jc w:val="both"/>
      </w:pPr>
      <w:r>
        <w:rPr>
          <w:rFonts w:ascii="Arial" w:cs="Arial" w:eastAsia="Arial" w:hAnsi="Arial"/>
          <w:sz w:val="24"/>
          <w:szCs w:val="24"/>
        </w:rPr>
        <w:t xml:space="preserve">2) станции по зарядке электромобилей.</w:t>
      </w:r>
    </w:p>
    <w:p>
      <w:pPr>
        <w:spacing w:after="200" w:before="200"/>
        <w:jc w:val="center"/>
      </w:pPr>
      <w:r>
        <w:rPr>
          <w:rFonts w:ascii="Arial" w:cs="Arial" w:eastAsia="Arial" w:hAnsi="Arial"/>
          <w:b/>
          <w:bCs/>
          <w:sz w:val="32"/>
          <w:szCs w:val="32"/>
        </w:rPr>
        <w:t xml:space="preserve">Глава 8. Применение тарифов на электрическую энергию, отпускаемую группе "Детские учреждения интернатного типа, социальные стационарные и полустационарные учреждения для инвалидов и/или пожилых граждан"</w:t>
      </w:r>
    </w:p>
    <w:p>
      <w:pPr>
        <w:spacing w:after="60"/>
        <w:ind w:firstLine="567"/>
        <w:jc w:val="both"/>
      </w:pPr>
      <w:r>
        <w:rPr>
          <w:rFonts w:ascii="Arial" w:cs="Arial" w:eastAsia="Arial" w:hAnsi="Arial"/>
          <w:sz w:val="24"/>
          <w:szCs w:val="24"/>
        </w:rPr>
        <w:t xml:space="preserve">42. Отпуск электрической энергии для группы "Детские учреждения интернатного типа, социальные стационарные и полустационарные учреждения для инвалидов и/или пожилых граждан"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43. Плата потребителями данной группы за потребленную электроэнергию производится по тарифу, указанному в пункте 4 </w:t>
      </w:r>
      <w:hyperlink w:history="1" r:id="rIdpvgkvoaku5t64wwaqqpp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44. К потребителям группы "Детские учреждения интернатного типа, социальные стационарные и полустационарные учреждения для инвалидов и/или пожилых граждан" относятся учреждения, независимо от формы собственности, оказывающие услуги детям, находящимся в трудной жизненной ситуации, инвалидам и/или пожилым гражданам, а также некоммерческие организации, реализующие проекты в рамках государственного социального заказа.</w:t>
      </w:r>
    </w:p>
    <w:p>
      <w:pPr>
        <w:spacing w:after="60"/>
        <w:ind w:firstLine="567"/>
        <w:jc w:val="both"/>
      </w:pPr>
      <w:r>
        <w:rPr>
          <w:rFonts w:ascii="Arial" w:cs="Arial" w:eastAsia="Arial" w:hAnsi="Arial"/>
          <w:sz w:val="24"/>
          <w:szCs w:val="24"/>
        </w:rPr>
        <w:t xml:space="preserve">45. Потребители указанной в пункте 44 группы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60"/>
        <w:ind w:firstLine="567"/>
        <w:jc w:val="both"/>
      </w:pPr>
      <w:r>
        <w:rPr>
          <w:rFonts w:ascii="Arial" w:cs="Arial" w:eastAsia="Arial" w:hAnsi="Arial"/>
          <w:sz w:val="24"/>
          <w:szCs w:val="24"/>
        </w:rPr>
        <w:t xml:space="preserve">1) стационарные:</w:t>
      </w:r>
    </w:p>
    <w:p>
      <w:pPr>
        <w:spacing w:after="60"/>
        <w:ind w:firstLine="56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60"/>
        <w:ind w:firstLine="56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 полустационарные:</w:t>
      </w:r>
    </w:p>
    <w:p>
      <w:pPr>
        <w:spacing w:after="60"/>
        <w:ind w:firstLine="56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60"/>
        <w:ind w:firstLine="567"/>
        <w:jc w:val="both"/>
      </w:pPr>
      <w:r>
        <w:rPr>
          <w:rFonts w:ascii="Arial" w:cs="Arial" w:eastAsia="Arial" w:hAnsi="Arial"/>
          <w:sz w:val="24"/>
          <w:szCs w:val="24"/>
        </w:rPr>
        <w:t xml:space="preserve">- социальные приюты для детей и подростков;</w:t>
      </w:r>
    </w:p>
    <w:p>
      <w:pPr>
        <w:spacing w:after="60"/>
        <w:ind w:firstLine="56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60"/>
        <w:ind w:firstLine="567"/>
        <w:jc w:val="both"/>
      </w:pPr>
      <w:r>
        <w:rPr>
          <w:rFonts w:ascii="Arial" w:cs="Arial" w:eastAsia="Arial" w:hAnsi="Arial"/>
          <w:sz w:val="24"/>
          <w:szCs w:val="24"/>
        </w:rPr>
        <w:t xml:space="preserve">- центры социальной помощи детям;</w:t>
      </w:r>
    </w:p>
    <w:p>
      <w:pPr>
        <w:spacing w:after="60"/>
        <w:ind w:firstLine="567"/>
        <w:jc w:val="both"/>
      </w:pPr>
      <w:r>
        <w:rPr>
          <w:rFonts w:ascii="Arial" w:cs="Arial" w:eastAsia="Arial" w:hAnsi="Arial"/>
          <w:sz w:val="24"/>
          <w:szCs w:val="24"/>
        </w:rPr>
        <w:t xml:space="preserve">- приюты ночного пребывания;</w:t>
      </w:r>
    </w:p>
    <w:p>
      <w:pPr>
        <w:spacing w:after="60"/>
        <w:ind w:firstLine="567"/>
        <w:jc w:val="both"/>
      </w:pPr>
      <w:r>
        <w:rPr>
          <w:rFonts w:ascii="Arial" w:cs="Arial" w:eastAsia="Arial" w:hAnsi="Arial"/>
          <w:sz w:val="24"/>
          <w:szCs w:val="24"/>
        </w:rPr>
        <w:t xml:space="preserve">- геронтологические центры;</w:t>
      </w:r>
    </w:p>
    <w:p>
      <w:pPr>
        <w:spacing w:after="60"/>
        <w:ind w:firstLine="567"/>
        <w:jc w:val="both"/>
      </w:pPr>
      <w:r>
        <w:rPr>
          <w:rFonts w:ascii="Arial" w:cs="Arial" w:eastAsia="Arial" w:hAnsi="Arial"/>
          <w:sz w:val="24"/>
          <w:szCs w:val="24"/>
        </w:rPr>
        <w:t xml:space="preserve">- специальные дома для одиноких пожилых граждан;</w:t>
      </w:r>
    </w:p>
    <w:p>
      <w:pPr>
        <w:spacing w:after="60"/>
        <w:ind w:firstLine="567"/>
        <w:jc w:val="both"/>
      </w:pPr>
      <w:r>
        <w:rPr>
          <w:rFonts w:ascii="Arial" w:cs="Arial" w:eastAsia="Arial" w:hAnsi="Arial"/>
          <w:sz w:val="24"/>
          <w:szCs w:val="24"/>
        </w:rPr>
        <w:t xml:space="preserve">- центры помощи детям, оставшимся без попечения родителей;</w:t>
      </w:r>
    </w:p>
    <w:p>
      <w:pPr>
        <w:spacing w:after="60"/>
        <w:ind w:firstLine="56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60"/>
        <w:ind w:firstLine="567"/>
        <w:jc w:val="both"/>
      </w:pPr>
      <w:r>
        <w:rPr>
          <w:rFonts w:ascii="Arial" w:cs="Arial" w:eastAsia="Arial" w:hAnsi="Arial"/>
          <w:sz w:val="24"/>
          <w:szCs w:val="24"/>
        </w:rPr>
        <w:t xml:space="preserve">- убежище (центр временного пребывания для лиц, пострадавших от семейного насилия);</w:t>
      </w:r>
    </w:p>
    <w:p>
      <w:pPr>
        <w:spacing w:after="60"/>
        <w:ind w:firstLine="567"/>
        <w:jc w:val="both"/>
      </w:pPr>
      <w:r>
        <w:rPr>
          <w:rFonts w:ascii="Arial" w:cs="Arial" w:eastAsia="Arial" w:hAnsi="Arial"/>
          <w:sz w:val="24"/>
          <w:szCs w:val="24"/>
        </w:rPr>
        <w:t xml:space="preserve">- реабилитационные центры (социальные общежития) согласно статье 33 Закона Кыргызской Республики "О пробации";</w:t>
      </w:r>
    </w:p>
    <w:p>
      <w:pPr>
        <w:spacing w:after="60"/>
        <w:ind w:firstLine="567"/>
        <w:jc w:val="both"/>
      </w:pPr>
      <w:r>
        <w:rPr>
          <w:rFonts w:ascii="Arial" w:cs="Arial" w:eastAsia="Arial" w:hAnsi="Arial"/>
          <w:sz w:val="24"/>
          <w:szCs w:val="24"/>
        </w:rPr>
        <w:t xml:space="preserve">- семейный детский дом;</w:t>
      </w:r>
    </w:p>
    <w:p>
      <w:pPr>
        <w:spacing w:after="60"/>
        <w:ind w:firstLine="567"/>
        <w:jc w:val="both"/>
      </w:pPr>
      <w:r>
        <w:rPr>
          <w:rFonts w:ascii="Arial" w:cs="Arial" w:eastAsia="Arial" w:hAnsi="Arial"/>
          <w:sz w:val="24"/>
          <w:szCs w:val="24"/>
        </w:rPr>
        <w:t xml:space="preserve">3)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w:t>
      </w:r>
    </w:p>
    <w:p>
      <w:pPr>
        <w:spacing w:after="200" w:before="200"/>
        <w:jc w:val="center"/>
      </w:pPr>
      <w:r>
        <w:rPr>
          <w:rFonts w:ascii="Arial" w:cs="Arial" w:eastAsia="Arial" w:hAnsi="Arial"/>
          <w:b/>
          <w:bCs/>
          <w:sz w:val="32"/>
          <w:szCs w:val="32"/>
        </w:rPr>
        <w:t xml:space="preserve">Глава 9. Применение тарифов на электрическую энергию для группы "Религиозные организации"</w:t>
      </w:r>
    </w:p>
    <w:p>
      <w:pPr>
        <w:spacing w:after="60"/>
        <w:ind w:firstLine="567"/>
        <w:jc w:val="both"/>
      </w:pPr>
      <w:r>
        <w:rPr>
          <w:rFonts w:ascii="Arial" w:cs="Arial" w:eastAsia="Arial" w:hAnsi="Arial"/>
          <w:sz w:val="24"/>
          <w:szCs w:val="24"/>
        </w:rPr>
        <w:t xml:space="preserve">46. Отпуск электрической энергии потребителям группы "Религиозные организации"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47. Плата потребителями данной группы за потребленную электроэнергию производится по тарифу, указанному в пункте 5 </w:t>
      </w:r>
      <w:hyperlink w:history="1" r:id="rIdte_sjadhjhvecniz0zgs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48. К потребителям группы "Религиозные организации" относятся: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49. Отпуск электрической энергии группе "Бюджетные потребители (потребители, финансируемые из республиканского и/или местного бюджета)"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50. Плата потребителями данной группы за потребленную электроэнергию производится по тарифу, указанному в пункте 6 </w:t>
      </w:r>
      <w:hyperlink w:history="1" r:id="rIdshzic0vp3t89tlhvyf0e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51. При наличии у бюджетного потребителя общежития и подведомственных жилых домов, жилых домов и общежития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60"/>
        <w:ind w:firstLine="567"/>
        <w:jc w:val="both"/>
      </w:pPr>
      <w:r>
        <w:rPr>
          <w:rFonts w:ascii="Arial" w:cs="Arial" w:eastAsia="Arial" w:hAnsi="Arial"/>
          <w:sz w:val="24"/>
          <w:szCs w:val="24"/>
        </w:rPr>
        <w:t xml:space="preserve">52.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"Насосные станции".</w:t>
      </w:r>
    </w:p>
    <w:p>
      <w:pPr>
        <w:spacing w:after="60"/>
        <w:ind w:firstLine="567"/>
        <w:jc w:val="both"/>
      </w:pPr>
      <w:r>
        <w:rPr>
          <w:rFonts w:ascii="Arial" w:cs="Arial" w:eastAsia="Arial" w:hAnsi="Arial"/>
          <w:sz w:val="24"/>
          <w:szCs w:val="24"/>
        </w:rPr>
        <w:t xml:space="preserve">53.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60"/>
        <w:ind w:firstLine="567"/>
        <w:jc w:val="both"/>
      </w:pPr>
      <w:r>
        <w:rPr>
          <w:rFonts w:ascii="Arial" w:cs="Arial" w:eastAsia="Arial" w:hAnsi="Arial"/>
          <w:sz w:val="24"/>
          <w:szCs w:val="24"/>
        </w:rPr>
        <w:t xml:space="preserve">54. К потребителям, финансируемым из республиканского и/или местного бюджета, относятся:</w:t>
      </w:r>
    </w:p>
    <w:p>
      <w:pPr>
        <w:spacing w:after="60"/>
        <w:ind w:firstLine="567"/>
        <w:jc w:val="both"/>
      </w:pPr>
      <w:r>
        <w:rPr>
          <w:rFonts w:ascii="Arial" w:cs="Arial" w:eastAsia="Arial" w:hAnsi="Arial"/>
          <w:sz w:val="24"/>
          <w:szCs w:val="24"/>
        </w:rPr>
        <w:t xml:space="preserve">1) государственные учреждения;</w:t>
      </w:r>
    </w:p>
    <w:p>
      <w:pPr>
        <w:spacing w:after="60"/>
        <w:ind w:firstLine="56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60"/>
        <w:ind w:firstLine="56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8) государственные ботанические сады, зоопарки;</w:t>
      </w:r>
    </w:p>
    <w:p>
      <w:pPr>
        <w:spacing w:after="60"/>
        <w:ind w:firstLine="567"/>
        <w:jc w:val="both"/>
      </w:pPr>
      <w:r>
        <w:rPr>
          <w:rFonts w:ascii="Arial" w:cs="Arial" w:eastAsia="Arial" w:hAnsi="Arial"/>
          <w:sz w:val="24"/>
          <w:szCs w:val="24"/>
        </w:rPr>
        <w:t xml:space="preserve">9) войсковые части со всеми службами, военно-учебные заведения со всеми их службами;</w:t>
      </w:r>
    </w:p>
    <w:p>
      <w:pPr>
        <w:spacing w:after="60"/>
        <w:ind w:firstLine="56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60"/>
        <w:ind w:firstLine="567"/>
        <w:jc w:val="both"/>
      </w:pPr>
      <w:r>
        <w:rPr>
          <w:rFonts w:ascii="Arial" w:cs="Arial" w:eastAsia="Arial" w:hAnsi="Arial"/>
          <w:sz w:val="24"/>
          <w:szCs w:val="24"/>
        </w:rPr>
        <w:t xml:space="preserve">11) органы судебной власти;</w:t>
      </w:r>
    </w:p>
    <w:p>
      <w:pPr>
        <w:spacing w:after="60"/>
        <w:ind w:firstLine="567"/>
        <w:jc w:val="both"/>
      </w:pPr>
      <w:r>
        <w:rPr>
          <w:rFonts w:ascii="Arial" w:cs="Arial" w:eastAsia="Arial" w:hAnsi="Arial"/>
          <w:sz w:val="24"/>
          <w:szCs w:val="24"/>
        </w:rPr>
        <w:t xml:space="preserve">12) Национальный банк Кыргызской Республики;</w:t>
      </w:r>
    </w:p>
    <w:p>
      <w:pPr>
        <w:spacing w:after="60"/>
        <w:ind w:firstLine="56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полустационарные учреждения для инвалидов и/или пожилых граждан", также должны быть отнесены к данной группе конечных потребителей.</w:t>
      </w:r>
    </w:p>
    <w:p>
      <w:pPr>
        <w:spacing w:after="200" w:before="200"/>
        <w:jc w:val="center"/>
      </w:pPr>
      <w:r>
        <w:rPr>
          <w:rFonts w:ascii="Arial" w:cs="Arial" w:eastAsia="Arial" w:hAnsi="Arial"/>
          <w:b/>
          <w:bCs/>
          <w:sz w:val="32"/>
          <w:szCs w:val="32"/>
        </w:rPr>
        <w:t xml:space="preserve">Глава 11. Применение тарифов на электрическую энергию, отпускаемую для группы "Сельское хозяйство"</w:t>
      </w:r>
    </w:p>
    <w:p>
      <w:pPr>
        <w:spacing w:after="60"/>
        <w:ind w:firstLine="567"/>
        <w:jc w:val="both"/>
      </w:pPr>
      <w:r>
        <w:rPr>
          <w:rFonts w:ascii="Arial" w:cs="Arial" w:eastAsia="Arial" w:hAnsi="Arial"/>
          <w:sz w:val="24"/>
          <w:szCs w:val="24"/>
        </w:rPr>
        <w:t xml:space="preserve">55. Отпуск электрической энергии потребителям группы "Сельское хозяйство" производится по установленным тарифам, независимо от типа ввода, характера использования электрической энергии.</w:t>
      </w:r>
    </w:p>
    <w:p>
      <w:pPr>
        <w:spacing w:after="60"/>
        <w:ind w:firstLine="567"/>
        <w:jc w:val="both"/>
      </w:pPr>
      <w:r>
        <w:rPr>
          <w:rFonts w:ascii="Arial" w:cs="Arial" w:eastAsia="Arial" w:hAnsi="Arial"/>
          <w:sz w:val="24"/>
          <w:szCs w:val="24"/>
        </w:rPr>
        <w:t xml:space="preserve">56. Плата потребителями группы "Сельское хозяйство" за потребленную электроэнергию производится по тарифу, указанному в пункте 7 </w:t>
      </w:r>
      <w:hyperlink w:history="1" r:id="rIdt46g2lgasbdkgsnp3kt7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57. К потребителям группы "Сельское хозяйство" относятся:</w:t>
      </w:r>
    </w:p>
    <w:p>
      <w:pPr>
        <w:spacing w:after="60"/>
        <w:ind w:firstLine="567"/>
        <w:jc w:val="both"/>
      </w:pPr>
      <w:r>
        <w:rPr>
          <w:rFonts w:ascii="Arial" w:cs="Arial" w:eastAsia="Arial" w:hAnsi="Arial"/>
          <w:sz w:val="24"/>
          <w:szCs w:val="24"/>
        </w:rPr>
        <w:t xml:space="preserve">1) крестьянские и фермерские хозяйства;</w:t>
      </w:r>
    </w:p>
    <w:p>
      <w:pPr>
        <w:spacing w:after="60"/>
        <w:ind w:firstLine="567"/>
        <w:jc w:val="both"/>
      </w:pPr>
      <w:r>
        <w:rPr>
          <w:rFonts w:ascii="Arial" w:cs="Arial" w:eastAsia="Arial" w:hAnsi="Arial"/>
          <w:sz w:val="24"/>
          <w:szCs w:val="24"/>
        </w:rPr>
        <w:t xml:space="preserve">2) животноводческие комплексы, кошары и предприятия по производству сельскохозяйственной продукции;</w:t>
      </w:r>
    </w:p>
    <w:p>
      <w:pPr>
        <w:spacing w:after="60"/>
        <w:ind w:firstLine="567"/>
        <w:jc w:val="both"/>
      </w:pPr>
      <w:r>
        <w:rPr>
          <w:rFonts w:ascii="Arial" w:cs="Arial" w:eastAsia="Arial" w:hAnsi="Arial"/>
          <w:sz w:val="24"/>
          <w:szCs w:val="24"/>
        </w:rPr>
        <w:t xml:space="preserve">3) самостоятельные или состоящие при кооперативных организациях и учреждениях подсобные сельские хозяйства;</w:t>
      </w:r>
    </w:p>
    <w:p>
      <w:pPr>
        <w:spacing w:after="60"/>
        <w:ind w:firstLine="567"/>
        <w:jc w:val="both"/>
      </w:pPr>
      <w:r>
        <w:rPr>
          <w:rFonts w:ascii="Arial" w:cs="Arial" w:eastAsia="Arial" w:hAnsi="Arial"/>
          <w:sz w:val="24"/>
          <w:szCs w:val="24"/>
        </w:rPr>
        <w:t xml:space="preserve">4) тепличные и теплично-парниковые хозяйства;</w:t>
      </w:r>
    </w:p>
    <w:p>
      <w:pPr>
        <w:spacing w:after="60"/>
        <w:ind w:firstLine="567"/>
        <w:jc w:val="both"/>
      </w:pPr>
      <w:r>
        <w:rPr>
          <w:rFonts w:ascii="Arial" w:cs="Arial" w:eastAsia="Arial" w:hAnsi="Arial"/>
          <w:sz w:val="24"/>
          <w:szCs w:val="24"/>
        </w:rPr>
        <w:t xml:space="preserve">5)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60"/>
        <w:ind w:firstLine="567"/>
        <w:jc w:val="both"/>
      </w:pPr>
      <w:r>
        <w:rPr>
          <w:rFonts w:ascii="Arial" w:cs="Arial" w:eastAsia="Arial" w:hAnsi="Arial"/>
          <w:sz w:val="24"/>
          <w:szCs w:val="24"/>
        </w:rPr>
        <w:t xml:space="preserve">6) гренажные заводы, коконосушилки, племенные шелковичные станции;</w:t>
      </w:r>
    </w:p>
    <w:p>
      <w:pPr>
        <w:spacing w:after="60"/>
        <w:ind w:firstLine="567"/>
        <w:jc w:val="both"/>
      </w:pPr>
      <w:r>
        <w:rPr>
          <w:rFonts w:ascii="Arial" w:cs="Arial" w:eastAsia="Arial" w:hAnsi="Arial"/>
          <w:sz w:val="24"/>
          <w:szCs w:val="24"/>
        </w:rPr>
        <w:t xml:space="preserve">7) птицефабрики, инкубаторные птицеводческие станции, племптицезаводы (хозяйства);</w:t>
      </w:r>
    </w:p>
    <w:p>
      <w:pPr>
        <w:spacing w:after="60"/>
        <w:ind w:firstLine="567"/>
        <w:jc w:val="both"/>
      </w:pPr>
      <w:r>
        <w:rPr>
          <w:rFonts w:ascii="Arial" w:cs="Arial" w:eastAsia="Arial" w:hAnsi="Arial"/>
          <w:sz w:val="24"/>
          <w:szCs w:val="24"/>
        </w:rPr>
        <w:t xml:space="preserve">8) рыборазводные заводы (хозяйства), рыбхозы, рыбоводно-мелиоративные станции, рыбопитомники, рыбные пункты;</w:t>
      </w:r>
    </w:p>
    <w:p>
      <w:pPr>
        <w:spacing w:after="60"/>
        <w:ind w:firstLine="567"/>
        <w:jc w:val="both"/>
      </w:pPr>
      <w:r>
        <w:rPr>
          <w:rFonts w:ascii="Arial" w:cs="Arial" w:eastAsia="Arial" w:hAnsi="Arial"/>
          <w:sz w:val="24"/>
          <w:szCs w:val="24"/>
        </w:rPr>
        <w:t xml:space="preserve">9) пчелопитомники и пчелопасеки;</w:t>
      </w:r>
    </w:p>
    <w:p>
      <w:pPr>
        <w:spacing w:after="60"/>
        <w:ind w:firstLine="567"/>
        <w:jc w:val="both"/>
      </w:pPr>
      <w:r>
        <w:rPr>
          <w:rFonts w:ascii="Arial" w:cs="Arial" w:eastAsia="Arial" w:hAnsi="Arial"/>
          <w:sz w:val="24"/>
          <w:szCs w:val="24"/>
        </w:rPr>
        <w:t xml:space="preserve">10) сортоиспытательные участки сельскохозяйственных культур;</w:t>
      </w:r>
    </w:p>
    <w:p>
      <w:pPr>
        <w:spacing w:after="60"/>
        <w:ind w:firstLine="567"/>
        <w:jc w:val="both"/>
      </w:pPr>
      <w:r>
        <w:rPr>
          <w:rFonts w:ascii="Arial" w:cs="Arial" w:eastAsia="Arial" w:hAnsi="Arial"/>
          <w:sz w:val="24"/>
          <w:szCs w:val="24"/>
        </w:rPr>
        <w:t xml:space="preserve">11) сельскохозяйственные предприятия (хозяйства) по выращиванию лекарственного и технического сырья;</w:t>
      </w:r>
    </w:p>
    <w:p>
      <w:pPr>
        <w:spacing w:after="60"/>
        <w:ind w:firstLine="567"/>
        <w:jc w:val="both"/>
      </w:pPr>
      <w:r>
        <w:rPr>
          <w:rFonts w:ascii="Arial" w:cs="Arial" w:eastAsia="Arial" w:hAnsi="Arial"/>
          <w:sz w:val="24"/>
          <w:szCs w:val="24"/>
        </w:rPr>
        <w:t xml:space="preserve">12) станции защиты растений, экспедиции и отряды по борьбе с вредителями и болезнями растений;</w:t>
      </w:r>
    </w:p>
    <w:p>
      <w:pPr>
        <w:spacing w:after="60"/>
        <w:ind w:firstLine="567"/>
        <w:jc w:val="both"/>
      </w:pPr>
      <w:r>
        <w:rPr>
          <w:rFonts w:ascii="Arial" w:cs="Arial" w:eastAsia="Arial" w:hAnsi="Arial"/>
          <w:sz w:val="24"/>
          <w:szCs w:val="24"/>
        </w:rPr>
        <w:t xml:space="preserve">13) биофабрики и биокомбинаты;</w:t>
      </w:r>
    </w:p>
    <w:p>
      <w:pPr>
        <w:spacing w:after="60"/>
        <w:ind w:firstLine="567"/>
        <w:jc w:val="both"/>
      </w:pPr>
      <w:r>
        <w:rPr>
          <w:rFonts w:ascii="Arial" w:cs="Arial" w:eastAsia="Arial" w:hAnsi="Arial"/>
          <w:sz w:val="24"/>
          <w:szCs w:val="24"/>
        </w:rPr>
        <w:t xml:space="preserve">14)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60"/>
        <w:ind w:firstLine="567"/>
        <w:jc w:val="both"/>
      </w:pPr>
      <w:r>
        <w:rPr>
          <w:rFonts w:ascii="Arial" w:cs="Arial" w:eastAsia="Arial" w:hAnsi="Arial"/>
          <w:sz w:val="24"/>
          <w:szCs w:val="24"/>
        </w:rPr>
        <w:t xml:space="preserve">15) ветеринарные лаборатории (участки, пункты), станции по борьбе с болезнями животных, мясомолочные и пищевые контрольные станции;</w:t>
      </w:r>
    </w:p>
    <w:p>
      <w:pPr>
        <w:spacing w:after="60"/>
        <w:ind w:firstLine="567"/>
        <w:jc w:val="both"/>
      </w:pPr>
      <w:r>
        <w:rPr>
          <w:rFonts w:ascii="Arial" w:cs="Arial" w:eastAsia="Arial" w:hAnsi="Arial"/>
          <w:sz w:val="24"/>
          <w:szCs w:val="24"/>
        </w:rPr>
        <w:t xml:space="preserve">16) обводнительные и осушительные системы и их эксплуатационные участки.</w:t>
      </w:r>
    </w:p>
    <w:p>
      <w:pPr>
        <w:spacing w:after="200" w:before="200"/>
        <w:jc w:val="center"/>
      </w:pPr>
      <w:r>
        <w:rPr>
          <w:rFonts w:ascii="Arial" w:cs="Arial" w:eastAsia="Arial" w:hAnsi="Arial"/>
          <w:b/>
          <w:bCs/>
          <w:sz w:val="32"/>
          <w:szCs w:val="32"/>
        </w:rPr>
        <w:t xml:space="preserve">Глава 12. Применение тарифов на электрическую энергию, отпускаемую потребителям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58.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60"/>
        <w:ind w:firstLine="567"/>
        <w:jc w:val="both"/>
      </w:pPr>
      <w:r>
        <w:rPr>
          <w:rFonts w:ascii="Arial" w:cs="Arial" w:eastAsia="Arial" w:hAnsi="Arial"/>
          <w:sz w:val="24"/>
          <w:szCs w:val="24"/>
        </w:rPr>
        <w:t xml:space="preserve">59.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60"/>
        <w:ind w:firstLine="567"/>
        <w:jc w:val="both"/>
      </w:pPr>
      <w:r>
        <w:rPr>
          <w:rFonts w:ascii="Arial" w:cs="Arial" w:eastAsia="Arial" w:hAnsi="Arial"/>
          <w:sz w:val="24"/>
          <w:szCs w:val="24"/>
        </w:rPr>
        <w:t xml:space="preserve">60.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60"/>
        <w:ind w:firstLine="567"/>
        <w:jc w:val="both"/>
      </w:pPr>
      <w:r>
        <w:rPr>
          <w:rFonts w:ascii="Arial" w:cs="Arial" w:eastAsia="Arial" w:hAnsi="Arial"/>
          <w:sz w:val="24"/>
          <w:szCs w:val="24"/>
        </w:rPr>
        <w:t xml:space="preserve">61. Если отдельные цеха или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62.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8 </w:t>
      </w:r>
      <w:hyperlink w:history="1" r:id="rIdnximg1fofzxyef5lqdu-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63.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60"/>
        <w:ind w:firstLine="56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60"/>
        <w:ind w:firstLine="56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60"/>
        <w:ind w:firstLine="567"/>
        <w:jc w:val="both"/>
      </w:pPr>
      <w:r>
        <w:rPr>
          <w:rFonts w:ascii="Arial" w:cs="Arial" w:eastAsia="Arial" w:hAnsi="Arial"/>
          <w:sz w:val="24"/>
          <w:szCs w:val="24"/>
        </w:rPr>
        <w:t xml:space="preserve">3) предприятия по производству строительных материалов;</w:t>
      </w:r>
    </w:p>
    <w:p>
      <w:pPr>
        <w:spacing w:after="60"/>
        <w:ind w:firstLine="56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60"/>
        <w:ind w:firstLine="56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60"/>
        <w:ind w:firstLine="56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60"/>
        <w:ind w:firstLine="56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60"/>
        <w:ind w:firstLine="56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60"/>
        <w:ind w:firstLine="56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60"/>
        <w:ind w:firstLine="567"/>
        <w:jc w:val="both"/>
      </w:pPr>
      <w:r>
        <w:rPr>
          <w:rFonts w:ascii="Arial" w:cs="Arial" w:eastAsia="Arial" w:hAnsi="Arial"/>
          <w:sz w:val="24"/>
          <w:szCs w:val="24"/>
        </w:rPr>
        <w:t xml:space="preserve">10) производство безалкогольных напитков;</w:t>
      </w:r>
    </w:p>
    <w:p>
      <w:pPr>
        <w:spacing w:after="60"/>
        <w:ind w:firstLine="56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60"/>
        <w:ind w:firstLine="56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60"/>
        <w:ind w:firstLine="567"/>
        <w:jc w:val="both"/>
      </w:pPr>
      <w:r>
        <w:rPr>
          <w:rFonts w:ascii="Arial" w:cs="Arial" w:eastAsia="Arial" w:hAnsi="Arial"/>
          <w:sz w:val="24"/>
          <w:szCs w:val="24"/>
        </w:rPr>
        <w:t xml:space="preserve">13) мастерские по обработке кожи, дерева и металла;</w:t>
      </w:r>
    </w:p>
    <w:p>
      <w:pPr>
        <w:spacing w:after="60"/>
        <w:ind w:firstLine="567"/>
        <w:jc w:val="both"/>
      </w:pPr>
      <w:r>
        <w:rPr>
          <w:rFonts w:ascii="Arial" w:cs="Arial" w:eastAsia="Arial" w:hAnsi="Arial"/>
          <w:sz w:val="24"/>
          <w:szCs w:val="24"/>
        </w:rPr>
        <w:t xml:space="preserve">14) производство растительного масла;</w:t>
      </w:r>
    </w:p>
    <w:p>
      <w:pPr>
        <w:spacing w:after="60"/>
        <w:ind w:firstLine="56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60"/>
        <w:ind w:firstLine="567"/>
        <w:jc w:val="both"/>
      </w:pPr>
      <w:r>
        <w:rPr>
          <w:rFonts w:ascii="Arial" w:cs="Arial" w:eastAsia="Arial" w:hAnsi="Arial"/>
          <w:sz w:val="24"/>
          <w:szCs w:val="24"/>
        </w:rPr>
        <w:t xml:space="preserve">16) склады, базы и цеха промышленных предприятий;</w:t>
      </w:r>
    </w:p>
    <w:p>
      <w:pPr>
        <w:spacing w:after="60"/>
        <w:ind w:firstLine="567"/>
        <w:jc w:val="both"/>
      </w:pPr>
      <w:r>
        <w:rPr>
          <w:rFonts w:ascii="Arial" w:cs="Arial" w:eastAsia="Arial" w:hAnsi="Arial"/>
          <w:sz w:val="24"/>
          <w:szCs w:val="24"/>
        </w:rPr>
        <w:t xml:space="preserve">17) фасовочные и тароремонтные предприятия и организации.</w:t>
      </w:r>
    </w:p>
    <w:p>
      <w:pPr>
        <w:spacing w:after="200" w:before="200"/>
        <w:jc w:val="center"/>
      </w:pPr>
      <w:r>
        <w:rPr>
          <w:rFonts w:ascii="Arial" w:cs="Arial" w:eastAsia="Arial" w:hAnsi="Arial"/>
          <w:b/>
          <w:bCs/>
          <w:sz w:val="32"/>
          <w:szCs w:val="32"/>
        </w:rPr>
        <w:t xml:space="preserve">Глава 13. Применение тарифов на электрическую энергию, отпускаемую группе "Прочие потребители"</w:t>
      </w:r>
    </w:p>
    <w:p>
      <w:pPr>
        <w:spacing w:after="60"/>
        <w:ind w:firstLine="567"/>
        <w:jc w:val="both"/>
      </w:pPr>
      <w:r>
        <w:rPr>
          <w:rFonts w:ascii="Arial" w:cs="Arial" w:eastAsia="Arial" w:hAnsi="Arial"/>
          <w:sz w:val="24"/>
          <w:szCs w:val="24"/>
        </w:rPr>
        <w:t xml:space="preserve">64. Отпуск электрической энергии всем прочим потребителям,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65. Отпуск электрической энергии прочим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66. Расчет за электрическую энергию, отпущенную прочим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60"/>
        <w:ind w:firstLine="567"/>
        <w:jc w:val="both"/>
      </w:pPr>
      <w:r>
        <w:rPr>
          <w:rFonts w:ascii="Arial" w:cs="Arial" w:eastAsia="Arial" w:hAnsi="Arial"/>
          <w:sz w:val="24"/>
          <w:szCs w:val="24"/>
        </w:rPr>
        <w:t xml:space="preserve">67. Плата потребителями группы "Прочие потребители" за потребленную электроэнергию производится по тарифу, указанному в пункте 9 </w:t>
      </w:r>
      <w:hyperlink w:history="1" r:id="rIdvpdypfmyp7vofahcjig4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68. К группе "Прочие потребители" относятся:</w:t>
      </w:r>
    </w:p>
    <w:p>
      <w:pPr>
        <w:spacing w:after="60"/>
        <w:ind w:firstLine="56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60"/>
        <w:ind w:firstLine="567"/>
        <w:jc w:val="both"/>
      </w:pPr>
      <w:r>
        <w:rPr>
          <w:rFonts w:ascii="Arial" w:cs="Arial" w:eastAsia="Arial" w:hAnsi="Arial"/>
          <w:sz w:val="24"/>
          <w:szCs w:val="24"/>
        </w:rPr>
        <w:t xml:space="preserve">2) рекламные агентства, агентства недвижимости;</w:t>
      </w:r>
    </w:p>
    <w:p>
      <w:pPr>
        <w:spacing w:after="60"/>
        <w:ind w:firstLine="56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60"/>
        <w:ind w:firstLine="56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60"/>
        <w:ind w:firstLine="567"/>
        <w:jc w:val="both"/>
      </w:pPr>
      <w:r>
        <w:rPr>
          <w:rFonts w:ascii="Arial" w:cs="Arial" w:eastAsia="Arial" w:hAnsi="Arial"/>
          <w:sz w:val="24"/>
          <w:szCs w:val="24"/>
        </w:rPr>
        <w:t xml:space="preserve">5) общественные, правозащитные организации и объединения;</w:t>
      </w:r>
    </w:p>
    <w:p>
      <w:pPr>
        <w:spacing w:after="60"/>
        <w:ind w:firstLine="56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60"/>
        <w:ind w:firstLine="56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60"/>
        <w:ind w:firstLine="56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60"/>
        <w:ind w:firstLine="56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60"/>
        <w:ind w:firstLine="56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60"/>
        <w:ind w:firstLine="56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60"/>
        <w:ind w:firstLine="56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60"/>
        <w:ind w:firstLine="56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60"/>
        <w:ind w:firstLine="56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60"/>
        <w:ind w:firstLine="567"/>
        <w:jc w:val="both"/>
      </w:pPr>
      <w:r>
        <w:rPr>
          <w:rFonts w:ascii="Arial" w:cs="Arial" w:eastAsia="Arial" w:hAnsi="Arial"/>
          <w:sz w:val="24"/>
          <w:szCs w:val="24"/>
        </w:rPr>
        <w:t xml:space="preserve">15) частные: киностудии, театры, концертные залы, кинотеатры, цирки и другие зрелищные предприятия;</w:t>
      </w:r>
    </w:p>
    <w:p>
      <w:pPr>
        <w:spacing w:after="60"/>
        <w:ind w:firstLine="56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60"/>
        <w:ind w:firstLine="56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60"/>
        <w:ind w:firstLine="56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60"/>
        <w:ind w:firstLine="56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60"/>
        <w:ind w:firstLine="567"/>
        <w:jc w:val="both"/>
      </w:pPr>
      <w:r>
        <w:rPr>
          <w:rFonts w:ascii="Arial" w:cs="Arial" w:eastAsia="Arial" w:hAnsi="Arial"/>
          <w:sz w:val="24"/>
          <w:szCs w:val="24"/>
        </w:rPr>
        <w:t xml:space="preserve">20) ларьки, палатки, автолавки, рынки, ярмарки и базары, сезонные торговые павильоны, киоски всех видов, домовые лавки;</w:t>
      </w:r>
    </w:p>
    <w:p>
      <w:pPr>
        <w:spacing w:after="60"/>
        <w:ind w:firstLine="56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60"/>
        <w:ind w:firstLine="567"/>
        <w:jc w:val="both"/>
      </w:pPr>
      <w:r>
        <w:rPr>
          <w:rFonts w:ascii="Arial" w:cs="Arial" w:eastAsia="Arial" w:hAnsi="Arial"/>
          <w:sz w:val="24"/>
          <w:szCs w:val="24"/>
        </w:rPr>
        <w:t xml:space="preserve">22) столовые, закусочные, кафе, бары, чайные, рестораны, буфеты, фабрики-кухни, комбинаты полуфабрикатов, домовые кухни;</w:t>
      </w:r>
    </w:p>
    <w:p>
      <w:pPr>
        <w:spacing w:after="60"/>
        <w:ind w:firstLine="56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60"/>
        <w:ind w:firstLine="56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60"/>
        <w:ind w:firstLine="56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200" w:before="200"/>
        <w:jc w:val="center"/>
      </w:pPr>
      <w:r>
        <w:rPr>
          <w:rFonts w:ascii="Arial" w:cs="Arial" w:eastAsia="Arial" w:hAnsi="Arial"/>
          <w:b/>
          <w:bCs/>
          <w:sz w:val="32"/>
          <w:szCs w:val="32"/>
        </w:rPr>
        <w:t xml:space="preserve">Глава 14. Применение тарифов на электрическую энергию, отпускаемую группе "Майнинг (криптовалюта)"</w:t>
      </w:r>
    </w:p>
    <w:p>
      <w:pPr>
        <w:spacing w:after="60"/>
        <w:ind w:firstLine="567"/>
        <w:jc w:val="both"/>
      </w:pPr>
      <w:r>
        <w:rPr>
          <w:rFonts w:ascii="Arial" w:cs="Arial" w:eastAsia="Arial" w:hAnsi="Arial"/>
          <w:sz w:val="24"/>
          <w:szCs w:val="24"/>
        </w:rPr>
        <w:t xml:space="preserve">69. Отпуск электрической энергии группе "Майнинг (криптовалюта)",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70. Отнесение потребителей электроэнергии в группу "Майнинг (криптовалюта)"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71. На период строительства объекта для целей майнинга (криптовалюта) применяется тариф на электроэнергию для группы потребителей "Промышленность".</w:t>
      </w:r>
    </w:p>
    <w:p>
      <w:pPr>
        <w:spacing w:after="60"/>
        <w:ind w:firstLine="567"/>
        <w:jc w:val="both"/>
      </w:pPr>
      <w:r>
        <w:rPr>
          <w:rFonts w:ascii="Arial" w:cs="Arial" w:eastAsia="Arial" w:hAnsi="Arial"/>
          <w:sz w:val="24"/>
          <w:szCs w:val="24"/>
        </w:rPr>
        <w:t xml:space="preserve">72. Тариф для группы потребителей "Майнинг (криптовалюта)" при потреблении электроэнергии принимается в размере, указанном в пункте 10 </w:t>
      </w:r>
      <w:hyperlink w:history="1" r:id="rIdugjn7bk2rdewrvxxfcwz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200" w:before="200"/>
        <w:jc w:val="center"/>
      </w:pPr>
      <w:r>
        <w:rPr>
          <w:rFonts w:ascii="Arial" w:cs="Arial" w:eastAsia="Arial" w:hAnsi="Arial"/>
          <w:b/>
          <w:bCs/>
          <w:sz w:val="32"/>
          <w:szCs w:val="32"/>
        </w:rPr>
        <w:t xml:space="preserve">Глава 15. Применение тарифов на электрическую энергию, отпускаемую группе "Золоторудная промышленность"</w:t>
      </w:r>
    </w:p>
    <w:p>
      <w:pPr>
        <w:spacing w:after="60"/>
        <w:ind w:firstLine="567"/>
        <w:jc w:val="both"/>
      </w:pPr>
      <w:r>
        <w:rPr>
          <w:rFonts w:ascii="Arial" w:cs="Arial" w:eastAsia="Arial" w:hAnsi="Arial"/>
          <w:sz w:val="24"/>
          <w:szCs w:val="24"/>
        </w:rPr>
        <w:t xml:space="preserve">73. Отпуск электрической энергии группе "Золоторудная промышленность" и вспомогательным объектам,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74. Отнесение потребителей электроэнергии в группу "Золоторудная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75. Тариф для группы потребителей "Золоторудная промышленность" при потреблении электроэнергии принимается в размере, указанном в пункте 11 </w:t>
      </w:r>
      <w:hyperlink w:history="1" r:id="rIdospyoe4dcmdw6tp1sc6z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76. К группе "Золоторудная промышленность" относятся:</w:t>
      </w:r>
    </w:p>
    <w:p>
      <w:pPr>
        <w:spacing w:after="60"/>
        <w:ind w:firstLine="567"/>
        <w:jc w:val="both"/>
      </w:pPr>
      <w:r>
        <w:rPr>
          <w:rFonts w:ascii="Arial" w:cs="Arial" w:eastAsia="Arial" w:hAnsi="Arial"/>
          <w:sz w:val="24"/>
          <w:szCs w:val="24"/>
        </w:rPr>
        <w:t xml:space="preserve">1) предприятия, добывающие золотоносные руды;</w:t>
      </w:r>
    </w:p>
    <w:p>
      <w:pPr>
        <w:spacing w:after="60"/>
        <w:ind w:firstLine="567"/>
        <w:jc w:val="both"/>
      </w:pPr>
      <w:r>
        <w:rPr>
          <w:rFonts w:ascii="Arial" w:cs="Arial" w:eastAsia="Arial" w:hAnsi="Arial"/>
          <w:sz w:val="24"/>
          <w:szCs w:val="24"/>
        </w:rPr>
        <w:t xml:space="preserve">2) золоторудные комбинаты;</w:t>
      </w:r>
    </w:p>
    <w:p>
      <w:pPr>
        <w:spacing w:after="60"/>
        <w:ind w:firstLine="567"/>
        <w:jc w:val="both"/>
      </w:pPr>
      <w:r>
        <w:rPr>
          <w:rFonts w:ascii="Arial" w:cs="Arial" w:eastAsia="Arial" w:hAnsi="Arial"/>
          <w:sz w:val="24"/>
          <w:szCs w:val="24"/>
        </w:rPr>
        <w:t xml:space="preserve">3) золотоперерабатывающие комбинаты;</w:t>
      </w:r>
    </w:p>
    <w:p>
      <w:pPr>
        <w:spacing w:after="60"/>
        <w:ind w:firstLine="567"/>
        <w:jc w:val="both"/>
      </w:pPr>
      <w:r>
        <w:rPr>
          <w:rFonts w:ascii="Arial" w:cs="Arial" w:eastAsia="Arial" w:hAnsi="Arial"/>
          <w:sz w:val="24"/>
          <w:szCs w:val="24"/>
        </w:rPr>
        <w:t xml:space="preserve">4) аффинажные предприятия;</w:t>
      </w:r>
    </w:p>
    <w:p>
      <w:pPr>
        <w:spacing w:after="60"/>
        <w:ind w:firstLine="567"/>
        <w:jc w:val="both"/>
      </w:pPr>
      <w:r>
        <w:rPr>
          <w:rFonts w:ascii="Arial" w:cs="Arial" w:eastAsia="Arial" w:hAnsi="Arial"/>
          <w:sz w:val="24"/>
          <w:szCs w:val="24"/>
        </w:rPr>
        <w:t xml:space="preserve">5) обогатительные фабрики.</w:t>
      </w:r>
    </w:p>
    <w:p>
      <w:pPr>
        <w:spacing w:after="200" w:before="200"/>
        <w:jc w:val="center"/>
      </w:pPr>
      <w:r>
        <w:rPr>
          <w:rFonts w:ascii="Arial" w:cs="Arial" w:eastAsia="Arial" w:hAnsi="Arial"/>
          <w:b/>
          <w:bCs/>
          <w:sz w:val="32"/>
          <w:szCs w:val="32"/>
        </w:rPr>
        <w:t xml:space="preserve">Глава 16. Применение тарифов на электрическую энергию, отпускаемую группе "Литейное производство"</w:t>
      </w:r>
    </w:p>
    <w:p>
      <w:pPr>
        <w:spacing w:after="60"/>
        <w:ind w:firstLine="567"/>
        <w:jc w:val="both"/>
      </w:pPr>
      <w:r>
        <w:rPr>
          <w:rFonts w:ascii="Arial" w:cs="Arial" w:eastAsia="Arial" w:hAnsi="Arial"/>
          <w:sz w:val="24"/>
          <w:szCs w:val="24"/>
        </w:rPr>
        <w:t xml:space="preserve">77. Отпуск электрической энергии группе "Литейное производство",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78. Отнесение потребителей электроэнергии в группу "Литейное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79. Тариф для группы потребителей "Литейное производство" при потреблении электроэнергии принимается в размере, указанном в пункте 12 </w:t>
      </w:r>
      <w:hyperlink w:history="1" r:id="rIdv5h_lp_vrmu90edatfnn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80. К группе "Литейное производство" относятся:</w:t>
      </w:r>
    </w:p>
    <w:p>
      <w:pPr>
        <w:spacing w:after="60"/>
        <w:ind w:firstLine="567"/>
        <w:jc w:val="both"/>
      </w:pPr>
      <w:r>
        <w:rPr>
          <w:rFonts w:ascii="Arial" w:cs="Arial" w:eastAsia="Arial" w:hAnsi="Arial"/>
          <w:sz w:val="24"/>
          <w:szCs w:val="24"/>
        </w:rPr>
        <w:t xml:space="preserve">1) производство металлической литейной продукции;</w:t>
      </w:r>
    </w:p>
    <w:p>
      <w:pPr>
        <w:spacing w:after="60"/>
        <w:ind w:firstLine="567"/>
        <w:jc w:val="both"/>
      </w:pPr>
      <w:r>
        <w:rPr>
          <w:rFonts w:ascii="Arial" w:cs="Arial" w:eastAsia="Arial" w:hAnsi="Arial"/>
          <w:sz w:val="24"/>
          <w:szCs w:val="24"/>
        </w:rPr>
        <w:t xml:space="preserve">2) производство металлической плавильной продукции;</w:t>
      </w:r>
    </w:p>
    <w:p>
      <w:pPr>
        <w:spacing w:after="60"/>
        <w:ind w:firstLine="567"/>
        <w:jc w:val="both"/>
      </w:pPr>
      <w:r>
        <w:rPr>
          <w:rFonts w:ascii="Arial" w:cs="Arial" w:eastAsia="Arial" w:hAnsi="Arial"/>
          <w:sz w:val="24"/>
          <w:szCs w:val="24"/>
        </w:rPr>
        <w:t xml:space="preserve">3) производство по металлопрокату (горячему и холодному).</w:t>
      </w:r>
    </w:p>
    <w:p>
      <w:pPr>
        <w:spacing w:after="60"/>
        <w:ind w:firstLine="567"/>
        <w:jc w:val="both"/>
      </w:pPr>
      <w:r>
        <w:rPr>
          <w:rFonts w:ascii="Arial" w:cs="Arial" w:eastAsia="Arial" w:hAnsi="Arial"/>
          <w:sz w:val="24"/>
          <w:szCs w:val="24"/>
        </w:rPr>
        <w:t xml:space="preserve">81.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литейном производстве.</w:t>
      </w:r>
    </w:p>
    <w:p>
      <w:pPr>
        <w:spacing w:after="60"/>
        <w:ind w:firstLine="567"/>
        <w:jc w:val="both"/>
      </w:pPr>
      <w:r>
        <w:rPr>
          <w:rFonts w:ascii="Arial" w:cs="Arial" w:eastAsia="Arial" w:hAnsi="Arial"/>
          <w:sz w:val="24"/>
          <w:szCs w:val="24"/>
        </w:rPr>
        <w:t xml:space="preserve">82. На период строительства объекта "Литейное производство"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17. Применение тарифов на электрическую энергию, отпускаемую группе "Алкогольная промышленность"</w:t>
      </w:r>
    </w:p>
    <w:p>
      <w:pPr>
        <w:spacing w:after="60"/>
        <w:ind w:firstLine="567"/>
        <w:jc w:val="both"/>
      </w:pPr>
      <w:r>
        <w:rPr>
          <w:rFonts w:ascii="Arial" w:cs="Arial" w:eastAsia="Arial" w:hAnsi="Arial"/>
          <w:sz w:val="24"/>
          <w:szCs w:val="24"/>
        </w:rPr>
        <w:t xml:space="preserve">83. Отпуск электрической энергии группе "Алкогольная промышленность",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84. Отнесение потребителей электроэнергии в группу "Алкогольная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85. Тариф для группы потребителей "Алкогольная промышленность" при потреблении электроэнергии принимается в размере, указанном в пункте 13 </w:t>
      </w:r>
      <w:hyperlink w:history="1" r:id="rIdyjavawxfbi58g4qq8d08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86. К группе "Алкогольная промышленность" относятся предприятия и объекты по производству следующих видов алкогольной продукции:</w:t>
      </w:r>
    </w:p>
    <w:p>
      <w:pPr>
        <w:spacing w:after="60"/>
        <w:ind w:firstLine="567"/>
        <w:jc w:val="both"/>
      </w:pPr>
      <w:r>
        <w:rPr>
          <w:rFonts w:ascii="Arial" w:cs="Arial" w:eastAsia="Arial" w:hAnsi="Arial"/>
          <w:sz w:val="24"/>
          <w:szCs w:val="24"/>
        </w:rPr>
        <w:t xml:space="preserve">1) водки и водки особые;</w:t>
      </w:r>
    </w:p>
    <w:p>
      <w:pPr>
        <w:spacing w:after="60"/>
        <w:ind w:firstLine="567"/>
        <w:jc w:val="both"/>
      </w:pPr>
      <w:r>
        <w:rPr>
          <w:rFonts w:ascii="Arial" w:cs="Arial" w:eastAsia="Arial" w:hAnsi="Arial"/>
          <w:sz w:val="24"/>
          <w:szCs w:val="24"/>
        </w:rPr>
        <w:t xml:space="preserve">2) ликеро-водочные изделия;</w:t>
      </w:r>
    </w:p>
    <w:p>
      <w:pPr>
        <w:spacing w:after="60"/>
        <w:ind w:firstLine="567"/>
        <w:jc w:val="both"/>
      </w:pPr>
      <w:r>
        <w:rPr>
          <w:rFonts w:ascii="Arial" w:cs="Arial" w:eastAsia="Arial" w:hAnsi="Arial"/>
          <w:sz w:val="24"/>
          <w:szCs w:val="24"/>
        </w:rPr>
        <w:t xml:space="preserve">3) виноматериалы;</w:t>
      </w:r>
    </w:p>
    <w:p>
      <w:pPr>
        <w:spacing w:after="60"/>
        <w:ind w:firstLine="567"/>
        <w:jc w:val="both"/>
      </w:pPr>
      <w:r>
        <w:rPr>
          <w:rFonts w:ascii="Arial" w:cs="Arial" w:eastAsia="Arial" w:hAnsi="Arial"/>
          <w:sz w:val="24"/>
          <w:szCs w:val="24"/>
        </w:rPr>
        <w:t xml:space="preserve">4) вина;</w:t>
      </w:r>
    </w:p>
    <w:p>
      <w:pPr>
        <w:spacing w:after="60"/>
        <w:ind w:firstLine="567"/>
        <w:jc w:val="both"/>
      </w:pPr>
      <w:r>
        <w:rPr>
          <w:rFonts w:ascii="Arial" w:cs="Arial" w:eastAsia="Arial" w:hAnsi="Arial"/>
          <w:sz w:val="24"/>
          <w:szCs w:val="24"/>
        </w:rPr>
        <w:t xml:space="preserve">5) игристые вина, шампанское;</w:t>
      </w:r>
    </w:p>
    <w:p>
      <w:pPr>
        <w:spacing w:after="60"/>
        <w:ind w:firstLine="567"/>
        <w:jc w:val="both"/>
      </w:pPr>
      <w:r>
        <w:rPr>
          <w:rFonts w:ascii="Arial" w:cs="Arial" w:eastAsia="Arial" w:hAnsi="Arial"/>
          <w:sz w:val="24"/>
          <w:szCs w:val="24"/>
        </w:rPr>
        <w:t xml:space="preserve">6) винные напитки;</w:t>
      </w:r>
    </w:p>
    <w:p>
      <w:pPr>
        <w:spacing w:after="60"/>
        <w:ind w:firstLine="567"/>
        <w:jc w:val="both"/>
      </w:pPr>
      <w:r>
        <w:rPr>
          <w:rFonts w:ascii="Arial" w:cs="Arial" w:eastAsia="Arial" w:hAnsi="Arial"/>
          <w:sz w:val="24"/>
          <w:szCs w:val="24"/>
        </w:rPr>
        <w:t xml:space="preserve">7) коньяк;</w:t>
      </w:r>
    </w:p>
    <w:p>
      <w:pPr>
        <w:spacing w:after="60"/>
        <w:ind w:firstLine="567"/>
        <w:jc w:val="both"/>
      </w:pPr>
      <w:r>
        <w:rPr>
          <w:rFonts w:ascii="Arial" w:cs="Arial" w:eastAsia="Arial" w:hAnsi="Arial"/>
          <w:sz w:val="24"/>
          <w:szCs w:val="24"/>
        </w:rPr>
        <w:t xml:space="preserve">8) бренди;</w:t>
      </w:r>
    </w:p>
    <w:p>
      <w:pPr>
        <w:spacing w:after="60"/>
        <w:ind w:firstLine="567"/>
        <w:jc w:val="both"/>
      </w:pPr>
      <w:r>
        <w:rPr>
          <w:rFonts w:ascii="Arial" w:cs="Arial" w:eastAsia="Arial" w:hAnsi="Arial"/>
          <w:sz w:val="24"/>
          <w:szCs w:val="24"/>
        </w:rPr>
        <w:t xml:space="preserve">9) кальвадос;</w:t>
      </w:r>
    </w:p>
    <w:p>
      <w:pPr>
        <w:spacing w:after="60"/>
        <w:ind w:firstLine="567"/>
        <w:jc w:val="both"/>
      </w:pPr>
      <w:r>
        <w:rPr>
          <w:rFonts w:ascii="Arial" w:cs="Arial" w:eastAsia="Arial" w:hAnsi="Arial"/>
          <w:sz w:val="24"/>
          <w:szCs w:val="24"/>
        </w:rPr>
        <w:t xml:space="preserve">10) пиво;</w:t>
      </w:r>
    </w:p>
    <w:p>
      <w:pPr>
        <w:spacing w:after="60"/>
        <w:ind w:firstLine="567"/>
        <w:jc w:val="both"/>
      </w:pPr>
      <w:r>
        <w:rPr>
          <w:rFonts w:ascii="Arial" w:cs="Arial" w:eastAsia="Arial" w:hAnsi="Arial"/>
          <w:sz w:val="24"/>
          <w:szCs w:val="24"/>
        </w:rPr>
        <w:t xml:space="preserve">11) прочие крепкие алкогольные напитки;</w:t>
      </w:r>
    </w:p>
    <w:p>
      <w:pPr>
        <w:spacing w:after="60"/>
        <w:ind w:firstLine="567"/>
        <w:jc w:val="both"/>
      </w:pPr>
      <w:r>
        <w:rPr>
          <w:rFonts w:ascii="Arial" w:cs="Arial" w:eastAsia="Arial" w:hAnsi="Arial"/>
          <w:sz w:val="24"/>
          <w:szCs w:val="24"/>
        </w:rPr>
        <w:t xml:space="preserve">12) прочие слабоалкогольные напитки.</w:t>
      </w:r>
    </w:p>
    <w:p>
      <w:pPr>
        <w:spacing w:after="60"/>
        <w:ind w:firstLine="567"/>
        <w:jc w:val="both"/>
      </w:pPr>
      <w:r>
        <w:rPr>
          <w:rFonts w:ascii="Arial" w:cs="Arial" w:eastAsia="Arial" w:hAnsi="Arial"/>
          <w:sz w:val="24"/>
          <w:szCs w:val="24"/>
        </w:rPr>
        <w:t xml:space="preserve">87. На период строительства объекта "Алкогольная промышленность"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18. Применение тарифов на электрическую энергию, отпускаемую группе "Цементное производство"</w:t>
      </w:r>
    </w:p>
    <w:p>
      <w:pPr>
        <w:spacing w:after="60"/>
        <w:ind w:firstLine="567"/>
        <w:jc w:val="both"/>
      </w:pPr>
      <w:r>
        <w:rPr>
          <w:rFonts w:ascii="Arial" w:cs="Arial" w:eastAsia="Arial" w:hAnsi="Arial"/>
          <w:sz w:val="24"/>
          <w:szCs w:val="24"/>
        </w:rPr>
        <w:t xml:space="preserve">88. Отпуск электрической энергии группе "Цементное производство", независимо от типа ввода, производится по установленным тарифам.</w:t>
      </w:r>
    </w:p>
    <w:p>
      <w:pPr>
        <w:spacing w:after="60"/>
        <w:ind w:firstLine="56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60"/>
        <w:ind w:firstLine="567"/>
        <w:jc w:val="both"/>
      </w:pPr>
      <w:r>
        <w:rPr>
          <w:rFonts w:ascii="Arial" w:cs="Arial" w:eastAsia="Arial" w:hAnsi="Arial"/>
          <w:sz w:val="24"/>
          <w:szCs w:val="24"/>
        </w:rPr>
        <w:t xml:space="preserve">89. Отнесение потребителей электроэнергии в группу "Цементное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60"/>
        <w:ind w:firstLine="567"/>
        <w:jc w:val="both"/>
      </w:pPr>
      <w:r>
        <w:rPr>
          <w:rFonts w:ascii="Arial" w:cs="Arial" w:eastAsia="Arial" w:hAnsi="Arial"/>
          <w:sz w:val="24"/>
          <w:szCs w:val="24"/>
        </w:rPr>
        <w:t xml:space="preserve">90. Тариф для группы потребителей "Цементное производство" при потреблении электроэнергии принимается в размере, указанном в пункте 14 </w:t>
      </w:r>
      <w:hyperlink w:history="1" r:id="rIdsnt8op-5md-rf6bxikpp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60"/>
        <w:ind w:firstLine="567"/>
        <w:jc w:val="both"/>
      </w:pPr>
      <w:r>
        <w:rPr>
          <w:rFonts w:ascii="Arial" w:cs="Arial" w:eastAsia="Arial" w:hAnsi="Arial"/>
          <w:sz w:val="24"/>
          <w:szCs w:val="24"/>
        </w:rPr>
        <w:t xml:space="preserve">91. К группе "Цементное производство" относятся предприятия по производству цемента и цементной продукции.</w:t>
      </w:r>
    </w:p>
    <w:p>
      <w:pPr>
        <w:spacing w:after="60"/>
        <w:ind w:firstLine="567"/>
        <w:jc w:val="both"/>
      </w:pPr>
      <w:r>
        <w:rPr>
          <w:rFonts w:ascii="Arial" w:cs="Arial" w:eastAsia="Arial" w:hAnsi="Arial"/>
          <w:sz w:val="24"/>
          <w:szCs w:val="24"/>
        </w:rPr>
        <w:t xml:space="preserve">92. На период строительства объекта "Цементное производство" применяется тариф на электроэнергию для группы потребителей "Промышленность".</w:t>
      </w:r>
    </w:p>
    <w:p>
      <w:pPr>
        <w:spacing w:after="200" w:before="200"/>
        <w:jc w:val="center"/>
      </w:pPr>
      <w:r>
        <w:rPr>
          <w:rFonts w:ascii="Arial" w:cs="Arial" w:eastAsia="Arial" w:hAnsi="Arial"/>
          <w:b/>
          <w:bCs/>
          <w:sz w:val="32"/>
          <w:szCs w:val="32"/>
        </w:rPr>
        <w:t xml:space="preserve">Глава 19. Применение тарифов на электрическую энергию, отпускаемую основным потребителям</w:t>
      </w:r>
    </w:p>
    <w:p>
      <w:pPr>
        <w:spacing w:after="60"/>
        <w:ind w:firstLine="567"/>
        <w:jc w:val="both"/>
      </w:pPr>
      <w:r>
        <w:rPr>
          <w:rFonts w:ascii="Arial" w:cs="Arial" w:eastAsia="Arial" w:hAnsi="Arial"/>
          <w:sz w:val="24"/>
          <w:szCs w:val="24"/>
        </w:rPr>
        <w:t xml:space="preserve">93. Тарифы на электрическую энергию для основных потребителей электрической энергии устанавливаются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94. Плата за потребленную электрическую энергию основными потребителями электроэнергии производится по тарифам, установленным для потребителей группы "Промышленность (промышленные и приравненные к ним потребители)", за исключением основных потребителей, отнесенных к группам:</w:t>
      </w:r>
    </w:p>
    <w:p>
      <w:pPr>
        <w:spacing w:after="60"/>
        <w:ind w:firstLine="567"/>
        <w:jc w:val="both"/>
      </w:pPr>
      <w:r>
        <w:rPr>
          <w:rFonts w:ascii="Arial" w:cs="Arial" w:eastAsia="Arial" w:hAnsi="Arial"/>
          <w:sz w:val="24"/>
          <w:szCs w:val="24"/>
        </w:rPr>
        <w:t xml:space="preserve">1) "Майнинг (криптовалюта)";</w:t>
      </w:r>
    </w:p>
    <w:p>
      <w:pPr>
        <w:spacing w:after="60"/>
        <w:ind w:firstLine="567"/>
        <w:jc w:val="both"/>
      </w:pPr>
      <w:r>
        <w:rPr>
          <w:rFonts w:ascii="Arial" w:cs="Arial" w:eastAsia="Arial" w:hAnsi="Arial"/>
          <w:sz w:val="24"/>
          <w:szCs w:val="24"/>
        </w:rPr>
        <w:t xml:space="preserve">2) "Золоторудная промышленность";</w:t>
      </w:r>
    </w:p>
    <w:p>
      <w:pPr>
        <w:spacing w:after="60"/>
        <w:ind w:firstLine="567"/>
        <w:jc w:val="both"/>
      </w:pPr>
      <w:r>
        <w:rPr>
          <w:rFonts w:ascii="Arial" w:cs="Arial" w:eastAsia="Arial" w:hAnsi="Arial"/>
          <w:sz w:val="24"/>
          <w:szCs w:val="24"/>
        </w:rPr>
        <w:t xml:space="preserve">3) "Литейное производство";</w:t>
      </w:r>
    </w:p>
    <w:p>
      <w:pPr>
        <w:spacing w:after="60"/>
        <w:ind w:firstLine="567"/>
        <w:jc w:val="both"/>
      </w:pPr>
      <w:r>
        <w:rPr>
          <w:rFonts w:ascii="Arial" w:cs="Arial" w:eastAsia="Arial" w:hAnsi="Arial"/>
          <w:sz w:val="24"/>
          <w:szCs w:val="24"/>
        </w:rPr>
        <w:t xml:space="preserve">4) "Алкогольная промышленность";</w:t>
      </w:r>
    </w:p>
    <w:p>
      <w:pPr>
        <w:spacing w:after="60"/>
        <w:ind w:firstLine="567"/>
        <w:jc w:val="both"/>
      </w:pPr>
      <w:r>
        <w:rPr>
          <w:rFonts w:ascii="Arial" w:cs="Arial" w:eastAsia="Arial" w:hAnsi="Arial"/>
          <w:sz w:val="24"/>
          <w:szCs w:val="24"/>
        </w:rPr>
        <w:t xml:space="preserve">5) "Цементное производство".</w:t>
      </w:r>
    </w:p>
    <w:p>
      <w:pPr>
        <w:spacing w:after="60"/>
        <w:ind w:firstLine="567"/>
        <w:jc w:val="both"/>
      </w:pPr>
      <w:r>
        <w:rPr>
          <w:rFonts w:ascii="Arial" w:cs="Arial" w:eastAsia="Arial" w:hAnsi="Arial"/>
          <w:sz w:val="24"/>
          <w:szCs w:val="24"/>
        </w:rPr>
        <w:t xml:space="preserve">95. Суммарный тариф на электрическую энергию для основных потребителей электрической энергии не должен превышать тариф, установленный для группы небытовых потребителей. При этом, суммарный тариф за 1 кВт.ч электрической энергии должен складываться из тарифа на покупку 1 кВт.ч электрической энергии от вырабатывающей энергокомпании и тарифа на передачу электрической энергии, в случае подключения от сетей открытого акционерного общества "Национальная электрическая сеть Кыргызстана".</w:t>
      </w:r>
    </w:p>
    <w:p>
      <w:pPr>
        <w:spacing w:after="60"/>
        <w:ind w:firstLine="567"/>
        <w:jc w:val="both"/>
      </w:pPr>
      <w:r>
        <w:rPr>
          <w:rFonts w:ascii="Arial" w:cs="Arial" w:eastAsia="Arial" w:hAnsi="Arial"/>
          <w:sz w:val="24"/>
          <w:szCs w:val="24"/>
        </w:rPr>
        <w:t xml:space="preserve">96. К основным потребителям электрической энергии относятся потребители, которые имеют подключение напрямую от распределительных устройств генерирующей компании или от высоковольтных передающих сетей открытого акционерного общества "Национальная электрическая сеть Кыргызстана" и включены в Перечень основных потребителей электрической энергии и, следовательно, имеют право на заключение прямых договоров с генерирующими и передающими компаниями.</w:t>
      </w:r>
    </w:p>
    <w:p>
      <w:pPr>
        <w:spacing w:after="60"/>
        <w:ind w:firstLine="567"/>
        <w:jc w:val="both"/>
      </w:pPr>
      <w:r>
        <w:rPr>
          <w:rFonts w:ascii="Arial" w:cs="Arial" w:eastAsia="Arial" w:hAnsi="Arial"/>
          <w:sz w:val="24"/>
          <w:szCs w:val="24"/>
        </w:rPr>
        <w:t xml:space="preserve">97. Перечень основных потребителей электрической энергии утверждается уполномоченным государственным органом по регулированию топливно-энергетического комплекса.</w:t>
      </w:r>
    </w:p>
    <w:p>
      <w:pPr>
        <w:spacing w:after="200" w:before="200"/>
        <w:jc w:val="center"/>
      </w:pPr>
      <w:r>
        <w:rPr>
          <w:rFonts w:ascii="Arial" w:cs="Arial" w:eastAsia="Arial" w:hAnsi="Arial"/>
          <w:b/>
          <w:bCs/>
          <w:sz w:val="32"/>
          <w:szCs w:val="32"/>
        </w:rPr>
        <w:t xml:space="preserve">Глава 20. Применение тарифов на электрическую энергию, отпускаемую потребителям-перепродавцам электрической энергии</w:t>
      </w:r>
    </w:p>
    <w:p>
      <w:pPr>
        <w:spacing w:after="60"/>
        <w:ind w:firstLine="567"/>
        <w:jc w:val="both"/>
      </w:pPr>
      <w:r>
        <w:rPr>
          <w:rFonts w:ascii="Arial" w:cs="Arial" w:eastAsia="Arial" w:hAnsi="Arial"/>
          <w:sz w:val="24"/>
          <w:szCs w:val="24"/>
        </w:rPr>
        <w:t xml:space="preserve">98. Потребителем-перепродавцом электрической энергии является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99. Тарифы на электрическую энергию для потребителей-перепродавцов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100. Потребители-перепродавцы отпускают полученную от электроснабжающих организаций электрическую энергию потребителям, подключенным к их сетям,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60"/>
        <w:ind w:firstLine="567"/>
        <w:jc w:val="both"/>
      </w:pPr>
      <w:r>
        <w:rPr>
          <w:rFonts w:ascii="Arial" w:cs="Arial" w:eastAsia="Arial" w:hAnsi="Arial"/>
          <w:sz w:val="24"/>
          <w:szCs w:val="24"/>
        </w:rPr>
        <w:t xml:space="preserve">101. Перечень потребителей-перепродавцов электрической энергии утверждается уполномоченным государственным органом по регулированию топливно-энергетического комплекса.</w:t>
      </w:r>
    </w:p>
    <w:p>
      <w:pPr>
        <w:spacing w:after="200" w:before="200"/>
        <w:jc w:val="center"/>
      </w:pPr>
      <w:r>
        <w:rPr>
          <w:rFonts w:ascii="Arial" w:cs="Arial" w:eastAsia="Arial" w:hAnsi="Arial"/>
          <w:b/>
          <w:bCs/>
          <w:sz w:val="32"/>
          <w:szCs w:val="32"/>
        </w:rPr>
        <w:t xml:space="preserve">Глава 21. Применение тарифов на электрическую энергию, отпускаемую распределяющим предприятиям</w:t>
      </w:r>
    </w:p>
    <w:p>
      <w:pPr>
        <w:spacing w:after="60"/>
        <w:ind w:firstLine="567"/>
        <w:jc w:val="both"/>
      </w:pPr>
      <w:r>
        <w:rPr>
          <w:rFonts w:ascii="Arial" w:cs="Arial" w:eastAsia="Arial" w:hAnsi="Arial"/>
          <w:sz w:val="24"/>
          <w:szCs w:val="24"/>
        </w:rPr>
        <w:t xml:space="preserve">102. Распределяющими предприятиями (предприятия, распределяющие электрическую энергию) являются любые государственные, частные юридические или физические лица, снабжающие электрической энергией потребителей.</w:t>
      </w:r>
    </w:p>
    <w:p>
      <w:pPr>
        <w:spacing w:after="60"/>
        <w:ind w:firstLine="567"/>
        <w:jc w:val="both"/>
      </w:pPr>
      <w:r>
        <w:rPr>
          <w:rFonts w:ascii="Arial" w:cs="Arial" w:eastAsia="Arial" w:hAnsi="Arial"/>
          <w:sz w:val="24"/>
          <w:szCs w:val="24"/>
        </w:rPr>
        <w:t xml:space="preserve">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осуществляют ее распределение и продажу различным конечным потребителям, подключенным к их сетям: предприятиям, учреждениям, организациям, населению и т.д.</w:t>
      </w:r>
    </w:p>
    <w:p>
      <w:pPr>
        <w:spacing w:after="60"/>
        <w:ind w:firstLine="567"/>
        <w:jc w:val="both"/>
      </w:pPr>
      <w:r>
        <w:rPr>
          <w:rFonts w:ascii="Arial" w:cs="Arial" w:eastAsia="Arial" w:hAnsi="Arial"/>
          <w:sz w:val="24"/>
          <w:szCs w:val="24"/>
        </w:rPr>
        <w:t xml:space="preserve">Распределяющие предприятия осуществляют свою деятельность в соответствии с условиями лицензии, полученной в уполномоченном государственном органе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103. Расчет за отпущенную электрическую энергию с распределяющими предприятиями производится по тарифам, установленным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104. Тарифы на электрическую энергию для распределяющих предприятий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60"/>
        <w:ind w:firstLine="567"/>
        <w:jc w:val="both"/>
      </w:pPr>
      <w:r>
        <w:rPr>
          <w:rFonts w:ascii="Arial" w:cs="Arial" w:eastAsia="Arial" w:hAnsi="Arial"/>
          <w:sz w:val="24"/>
          <w:szCs w:val="24"/>
        </w:rPr>
        <w:t xml:space="preserve">105. Распределяющие предприятия отпускают полученную от электроэнергетических предприятий электрическую энергию своим потребителям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60"/>
        <w:ind w:firstLine="567"/>
        <w:jc w:val="both"/>
      </w:pPr>
      <w:r>
        <w:rPr>
          <w:rFonts w:ascii="Arial" w:cs="Arial" w:eastAsia="Arial" w:hAnsi="Arial"/>
          <w:sz w:val="24"/>
          <w:szCs w:val="24"/>
        </w:rPr>
        <w:t xml:space="preserve">106. Перечень распределяющих предприятий утверждается уполномоченным государственным органом по регулированию топливно-энергетического комплекса.".</w:t>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lnlwvpv7gugtinghjho">
      <w:r>
        <w:rPr>
          <w:rFonts w:ascii="Arial" w:cs="Arial" w:eastAsia="Arial" w:hAnsi="Arial"/>
          <w:color w:val="132D3F"/>
          <w:sz w:val="16"/>
          <w:szCs w:val="16"/>
          <w:u w:val="single"/>
        </w:rPr>
        <w:t xml:space="preserve">dalil.kg/document/230000276</w:t>
      </w:r>
    </w:hyperlink>
  </w:p>
  <w:p>
    <w:pPr>
      <w:spacing w:after="0" w:before="40"/>
      <w:jc w:val="center"/>
    </w:pPr>
    <w:hyperlink w:history="1" r:id="rIda-rx_7mrayqiv7pegpb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ljajegvhriztoddzbng" Type="http://schemas.openxmlformats.org/officeDocument/2006/relationships/hyperlink" Target="https://dalil.kg/document/230025980" TargetMode="External"/><Relationship Id="rIdvqujuu7wlsejem8ywwdrb" Type="http://schemas.openxmlformats.org/officeDocument/2006/relationships/hyperlink" Target="https://dalil.kg/document/663#st_6" TargetMode="External"/><Relationship Id="rIduiqphfp2mx8xzie3wlnaf" Type="http://schemas.openxmlformats.org/officeDocument/2006/relationships/hyperlink" Target="https://dalil.kg/document/112301#st_13" TargetMode="External"/><Relationship Id="rId2ndx5ufiff1hdlmja1eu6" Type="http://schemas.openxmlformats.org/officeDocument/2006/relationships/hyperlink" Target="https://dalil.kg/document/112301#st_17" TargetMode="External"/><Relationship Id="rId9lm-twm18gbdzbluwhrxo" Type="http://schemas.openxmlformats.org/officeDocument/2006/relationships/hyperlink" Target="https://dalil.kg/document/158784" TargetMode="External"/><Relationship Id="rIdd5kc_hpk3hgd3gydgmtxg" Type="http://schemas.openxmlformats.org/officeDocument/2006/relationships/hyperlink" Target="https://dalil.kg/document/158785" TargetMode="External"/><Relationship Id="rIdh5vmvpkjk_oafotxxsbbb" Type="http://schemas.openxmlformats.org/officeDocument/2006/relationships/hyperlink" Target="https://dalil.kg/document/158785" TargetMode="External"/><Relationship Id="rId65mo59zhdl2l781rebu7s" Type="http://schemas.openxmlformats.org/officeDocument/2006/relationships/hyperlink" Target="https://dalil.kg/document/158785#g2" TargetMode="External"/><Relationship Id="rIdzkr01gwwxpyz9bkf39i5_" Type="http://schemas.openxmlformats.org/officeDocument/2006/relationships/hyperlink" Target="https://dalil.kg/document/158785#g3" TargetMode="External"/><Relationship Id="rIdorba2hayldcudmiy0llcu" Type="http://schemas.openxmlformats.org/officeDocument/2006/relationships/hyperlink" Target="https://dalil.kg/document/158785#pr2_1" TargetMode="External"/><Relationship Id="rIdzqmznptswcl8dkino6o7e" Type="http://schemas.openxmlformats.org/officeDocument/2006/relationships/hyperlink" Target="https://dalil.kg/document/158785#pr2_1" TargetMode="External"/><Relationship Id="rIdkmbx7nvan-rt353flttvq" Type="http://schemas.openxmlformats.org/officeDocument/2006/relationships/hyperlink" Target="https://dalil.kg/document/230000276#pr1" TargetMode="External"/><Relationship Id="rIdy5nzoeugqfeopk6q6vnxs" Type="http://schemas.openxmlformats.org/officeDocument/2006/relationships/hyperlink" Target="https://dalil.kg/document/158785#pr1" TargetMode="External"/><Relationship Id="rIdp7qatenzcrzd2edhz-_qo" Type="http://schemas.openxmlformats.org/officeDocument/2006/relationships/hyperlink" Target="https://dalil.kg/document/158785#pr2" TargetMode="External"/><Relationship Id="rIdvlr2zeg-cbtlndlijej6h" Type="http://schemas.openxmlformats.org/officeDocument/2006/relationships/hyperlink" Target="https://dalil.kg/document/158785#pr" TargetMode="External"/><Relationship Id="rIdx2lhnokbmxglvmqk-7tpn" Type="http://schemas.openxmlformats.org/officeDocument/2006/relationships/hyperlink" Target="https://dalil.kg/document/130#st_7" TargetMode="External"/><Relationship Id="rId_d2_-nokxbhip9ly9yrep" Type="http://schemas.openxmlformats.org/officeDocument/2006/relationships/hyperlink" Target="https://dalil.kg/document/92158" TargetMode="External"/><Relationship Id="rIdsdxkk7vrj4ry58l4hvwvl" Type="http://schemas.openxmlformats.org/officeDocument/2006/relationships/hyperlink" Target="https://dalil.kg/document/158785#pr3" TargetMode="External"/><Relationship Id="rIdq8q6mqxznjbl9naoktwpt" Type="http://schemas.openxmlformats.org/officeDocument/2006/relationships/hyperlink" Target="https://dalil.kg/document/230000276#pr2" TargetMode="External"/><Relationship Id="rIdd7slckqv6aehgpipt9boe" Type="http://schemas.openxmlformats.org/officeDocument/2006/relationships/hyperlink" Target="https://dalil.kg/document/158784#pr2_1" TargetMode="External"/><Relationship Id="rId-0frjkbkzcms8qdvujn0l" Type="http://schemas.openxmlformats.org/officeDocument/2006/relationships/hyperlink" Target="https://dalil.kg/document/158784#pr3" TargetMode="External"/><Relationship Id="rId0gnzqimh6etyd8s3n_uft" Type="http://schemas.openxmlformats.org/officeDocument/2006/relationships/hyperlink" Target="https://dalil.kg/document/158784#pr1" TargetMode="External"/><Relationship Id="rIdqdw3hjktsxbdptv0skgm4" Type="http://schemas.openxmlformats.org/officeDocument/2006/relationships/hyperlink" Target="https://dalil.kg/document/158784#pr1" TargetMode="External"/><Relationship Id="rIduthk2eecl0xo9q2hcik_v" Type="http://schemas.openxmlformats.org/officeDocument/2006/relationships/hyperlink" Target="https://dalil.kg/document/158784#pr1" TargetMode="External"/><Relationship Id="rIda2rgqsfbd91gdbyd2-uoe" Type="http://schemas.openxmlformats.org/officeDocument/2006/relationships/hyperlink" Target="https://dalil.kg/document/158784#pr1" TargetMode="External"/><Relationship Id="rIdr7x-w07nvsmgwduuzdkzs" Type="http://schemas.openxmlformats.org/officeDocument/2006/relationships/hyperlink" Target="https://dalil.kg/document/158784#pr1" TargetMode="External"/><Relationship Id="rIdj5m4sbn-tdrhwqlhy6tfb" Type="http://schemas.openxmlformats.org/officeDocument/2006/relationships/hyperlink" Target="https://dalil.kg/document/158784#pr1" TargetMode="External"/><Relationship Id="rIdtp4mu4cv2y7ssimmlstev" Type="http://schemas.openxmlformats.org/officeDocument/2006/relationships/hyperlink" Target="https://dalil.kg/document/158784#pr1" TargetMode="External"/><Relationship Id="rIdtukwnbwrfbsi0usqjsx2s" Type="http://schemas.openxmlformats.org/officeDocument/2006/relationships/hyperlink" Target="https://dalil.kg/document/158784#pr2" TargetMode="External"/><Relationship Id="rIdd-xjncmkl2l9wnfk2tnqt" Type="http://schemas.openxmlformats.org/officeDocument/2006/relationships/hyperlink" Target="https://dalil.kg/document/158784#pr2" TargetMode="External"/><Relationship Id="rIdwunqhu1bksj5s20joh4q_" Type="http://schemas.openxmlformats.org/officeDocument/2006/relationships/hyperlink" Target="https://dalil.kg/document/158784#pr2" TargetMode="External"/><Relationship Id="rId0hovrsebrglxpffoaeuvq" Type="http://schemas.openxmlformats.org/officeDocument/2006/relationships/hyperlink" Target="https://dalil.kg/document/158784#pr2" TargetMode="External"/><Relationship Id="rId6xhwmn64t85sydsntgxkc" Type="http://schemas.openxmlformats.org/officeDocument/2006/relationships/hyperlink" Target="https://dalil.kg/document/158784#pr2" TargetMode="External"/><Relationship Id="rId6sgnfponz098kajnjcsvx" Type="http://schemas.openxmlformats.org/officeDocument/2006/relationships/hyperlink" Target="https://dalil.kg/document/158784#pr2" TargetMode="External"/><Relationship Id="rIdq2a2zamygbdgytojbokjr" Type="http://schemas.openxmlformats.org/officeDocument/2006/relationships/hyperlink" Target="https://dalil.kg/document/158784#pr2" TargetMode="External"/><Relationship Id="rIdcrccg25wp41rbtbkxejrv" Type="http://schemas.openxmlformats.org/officeDocument/2006/relationships/hyperlink" Target="https://dalil.kg/document/158784#pr1" TargetMode="External"/><Relationship Id="rIdbomggp5wkxadkug6xxo8t" Type="http://schemas.openxmlformats.org/officeDocument/2006/relationships/hyperlink" Target="https://dalil.kg/document/158784#pr1" TargetMode="External"/><Relationship Id="rIdpl6vrht-6lcl5h_fczhcu" Type="http://schemas.openxmlformats.org/officeDocument/2006/relationships/hyperlink" Target="https://dalil.kg/document/158784#pr1" TargetMode="External"/><Relationship Id="rIdn5066zje0tgqo1wtk66cg" Type="http://schemas.openxmlformats.org/officeDocument/2006/relationships/hyperlink" Target="https://dalil.kg/document/158784#pr1" TargetMode="External"/><Relationship Id="rIdqbdoptq5f4xmklfgcc5ih" Type="http://schemas.openxmlformats.org/officeDocument/2006/relationships/hyperlink" Target="https://dalil.kg/document/158784#pr1" TargetMode="External"/><Relationship Id="rIdzx8pp89x_bp2cnruicwvv" Type="http://schemas.openxmlformats.org/officeDocument/2006/relationships/hyperlink" Target="https://dalil.kg/document/158784#pr1" TargetMode="External"/><Relationship Id="rId6lef7uaefdptogg8tknfb" Type="http://schemas.openxmlformats.org/officeDocument/2006/relationships/hyperlink" Target="https://dalil.kg/document/158784#pr1" TargetMode="External"/><Relationship Id="rIdftx2qxm98ag70oa9gs_rs" Type="http://schemas.openxmlformats.org/officeDocument/2006/relationships/hyperlink" Target="https://dalil.kg/document/158784#pr1" TargetMode="External"/><Relationship Id="rIdw-dz4uzh-umk_iif5wltl" Type="http://schemas.openxmlformats.org/officeDocument/2006/relationships/hyperlink" Target="https://dalil.kg/document/158784#pr1" TargetMode="External"/><Relationship Id="rIda43qh3gd4xjgvzsxriuvi" Type="http://schemas.openxmlformats.org/officeDocument/2006/relationships/hyperlink" Target="https://dalil.kg/document/158784#pr1" TargetMode="External"/><Relationship Id="rIdb1j4gnz4phztvzviwssir" Type="http://schemas.openxmlformats.org/officeDocument/2006/relationships/hyperlink" Target="https://dalil.kg/document/158784#pr2" TargetMode="External"/><Relationship Id="rId4svo3mj4-u4dfpabncovo" Type="http://schemas.openxmlformats.org/officeDocument/2006/relationships/hyperlink" Target="https://dalil.kg/document/158784#pr1" TargetMode="External"/><Relationship Id="rIdquqlo2jpbveqw4nt-5tyy" Type="http://schemas.openxmlformats.org/officeDocument/2006/relationships/hyperlink" Target="https://dalil.kg/document/158784#pr2" TargetMode="External"/><Relationship Id="rIdr4l1r_yiijeqdgat-de4t" Type="http://schemas.openxmlformats.org/officeDocument/2006/relationships/hyperlink" Target="https://dalil.kg/document/158784#pr1" TargetMode="External"/><Relationship Id="rIddpslxnpmm1wrudxzzzmqe" Type="http://schemas.openxmlformats.org/officeDocument/2006/relationships/hyperlink" Target="https://dalil.kg/document/158784#pr1" TargetMode="External"/><Relationship Id="rIdanndnbpcw87utk5hy9rr9" Type="http://schemas.openxmlformats.org/officeDocument/2006/relationships/hyperlink" Target="https://dalil.kg/document/158784#pr1" TargetMode="External"/><Relationship Id="rIdpvgkvoaku5t64wwaqqpp9" Type="http://schemas.openxmlformats.org/officeDocument/2006/relationships/hyperlink" Target="https://dalil.kg/document/158784#pr1" TargetMode="External"/><Relationship Id="rIdte_sjadhjhvecniz0zgsw" Type="http://schemas.openxmlformats.org/officeDocument/2006/relationships/hyperlink" Target="https://dalil.kg/document/158784#pr1" TargetMode="External"/><Relationship Id="rIdshzic0vp3t89tlhvyf0ec" Type="http://schemas.openxmlformats.org/officeDocument/2006/relationships/hyperlink" Target="https://dalil.kg/document/158784#pr1" TargetMode="External"/><Relationship Id="rIdt46g2lgasbdkgsnp3kt7h" Type="http://schemas.openxmlformats.org/officeDocument/2006/relationships/hyperlink" Target="https://dalil.kg/document/158784#pr1" TargetMode="External"/><Relationship Id="rIdnximg1fofzxyef5lqdu-e" Type="http://schemas.openxmlformats.org/officeDocument/2006/relationships/hyperlink" Target="https://dalil.kg/document/158784#pr1" TargetMode="External"/><Relationship Id="rIdvpdypfmyp7vofahcjig4l" Type="http://schemas.openxmlformats.org/officeDocument/2006/relationships/hyperlink" Target="https://dalil.kg/document/158784#pr1" TargetMode="External"/><Relationship Id="rIdugjn7bk2rdewrvxxfcwzp" Type="http://schemas.openxmlformats.org/officeDocument/2006/relationships/hyperlink" Target="https://dalil.kg/document/158784#pr1" TargetMode="External"/><Relationship Id="rIdospyoe4dcmdw6tp1sc6zl" Type="http://schemas.openxmlformats.org/officeDocument/2006/relationships/hyperlink" Target="https://dalil.kg/document/158784#pr1" TargetMode="External"/><Relationship Id="rIdv5h_lp_vrmu90edatfnna" Type="http://schemas.openxmlformats.org/officeDocument/2006/relationships/hyperlink" Target="https://dalil.kg/document/158784#pr1" TargetMode="External"/><Relationship Id="rIdyjavawxfbi58g4qq8d08k" Type="http://schemas.openxmlformats.org/officeDocument/2006/relationships/hyperlink" Target="https://dalil.kg/document/158784#pr1" TargetMode="External"/><Relationship Id="rIdsnt8op-5md-rf6bxikppf" Type="http://schemas.openxmlformats.org/officeDocument/2006/relationships/hyperlink" Target="https://dalil.kg/document/158784#pr1" TargetMode="External"/><Relationship Id="rId8" Type="http://schemas.openxmlformats.org/officeDocument/2006/relationships/image" Target="media/8de64316e95979c063c17bcd5380dc052a2594e9.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lnlwvpv7gugtinghjho" Type="http://schemas.openxmlformats.org/officeDocument/2006/relationships/hyperlink" Target="https://dalil.kg/document/230000276" TargetMode="External"/><Relationship Id="rIda-rx_7mrayqiv7pegpb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2026-09-23T21:39:31.617Z</dcterms:created>
  <dcterms:modified xsi:type="dcterms:W3CDTF">2026-09-23T21:39:31.617Z</dcterms:modified>
</cp:coreProperties>
</file>

<file path=docProps/custom.xml><?xml version="1.0" encoding="utf-8"?>
<Properties xmlns="http://schemas.openxmlformats.org/officeDocument/2006/custom-properties" xmlns:vt="http://schemas.openxmlformats.org/officeDocument/2006/docPropsVTypes"/>
</file>