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хозяйственного общества с государственной долей участия в уставном капитале - открытого акционерного общества микрокредитная компания "Фонд развития предпринимательства", в соответствии со статьями </w:t>
      </w:r>
      <w:hyperlink w:history="1" r:id="rIdvrypgx7bpaap-4n9gxq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r7furklm17rwjdzi3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9k9ucz2tphz49x0gr2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повышению эффективности деятельности хозяйственного общества с государственной долей участия в уставном капитале" от 4 марта 2022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"117000000,0 (сто семнадцать миллионов) сомов в течение 2022 года" заменить словами "2</w:t>
      </w:r>
      <w:r>
        <w:rPr>
          <w:rFonts w:ascii="Arial" w:cs="Arial" w:eastAsia="Arial" w:hAnsi="Arial"/>
          <w:sz w:val="24"/>
          <w:szCs w:val="24"/>
        </w:rPr>
        <w:t xml:space="preserve">000</w:t>
      </w:r>
      <w:r>
        <w:rPr>
          <w:rFonts w:ascii="Arial" w:cs="Arial" w:eastAsia="Arial" w:hAnsi="Arial"/>
          <w:sz w:val="24"/>
          <w:szCs w:val="24"/>
        </w:rPr>
        <w:t xml:space="preserve">000 000,0 (два миллиарда) сомов до 2027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104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ypgx7bpaap-4n9gxq5i" Type="http://schemas.openxmlformats.org/officeDocument/2006/relationships/hyperlink" Target="http://kodeks.duckdns.org/document/112301#st_13" TargetMode="External"/><Relationship Id="rIdnr7furklm17rwjdzi3xn9" Type="http://schemas.openxmlformats.org/officeDocument/2006/relationships/hyperlink" Target="http://kodeks.duckdns.org/document/112301#st_17" TargetMode="External"/><Relationship Id="rIdy9k9ucz2tphz49x0gr23r" Type="http://schemas.openxmlformats.org/officeDocument/2006/relationships/hyperlink" Target="http://kodeks.duckdns.org/document/1589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2026-09-23T00:33:50.835Z</dcterms:created>
  <dcterms:modified xsi:type="dcterms:W3CDTF">2026-09-23T00:33:50.835Z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