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27 февраля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69</w:t>
      </w:r>
      <w:r>
        <w:rPr>
          <w:rFonts w:ascii="Arial" w:cs="Arial" w:eastAsia="Arial" w:hAnsi="Arial"/>
          <w:sz w:val="24"/>
          <w:szCs w:val="24"/>
        </w:rPr>
        <w:t xml:space="preserve">-р</w:t>
      </w:r>
    </w:p>
    <w:p>
      <w:pPr>
        <w:spacing w:after="120"/>
        <w:ind w:firstLine="397"/>
        <w:jc w:val="both"/>
      </w:pPr>
      <w:r>
        <w:rPr>
          <w:rFonts w:ascii="Arial" w:cs="Arial" w:eastAsia="Arial" w:hAnsi="Arial"/>
          <w:sz w:val="24"/>
          <w:szCs w:val="24"/>
        </w:rPr>
        <w:t xml:space="preserve">В целях улучшения качества исследований и повышения соответствия требованиям рынка труда в программах высшего образования, в соответствии с </w:t>
      </w:r>
      <w:hyperlink w:history="1" r:id="rIdtax-t7foamtpjf_cnomw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международных договорах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статьями </w:t>
      </w:r>
      <w:hyperlink w:history="1" r:id="rIdzbgfqama4qwfxdpd9waw8">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sc65oraie5yxiaqajix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Кабинете Министров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baebehi6swj0mfhxz6niu">
        <w:r>
          <w:rPr>
            <w:rFonts w:ascii="Arial" w:cs="Arial" w:eastAsia="Arial" w:hAnsi="Arial"/>
            <w:color w:val="1D4ED8"/>
            <w:sz w:val="24"/>
            <w:szCs w:val="24"/>
            <w:u w:val="single"/>
          </w:rPr>
          <w:t xml:space="preserve">проект </w:t>
        </w:r>
      </w:hyperlink>
      <w:r>
        <w:rPr>
          <w:rFonts w:ascii="Arial" w:cs="Arial" w:eastAsia="Arial" w:hAnsi="Arial"/>
          <w:sz w:val="24"/>
          <w:szCs w:val="24"/>
        </w:rPr>
        <w:t xml:space="preserve">Соглашения о финансировании (проект </w:t>
      </w:r>
      <w:r>
        <w:rPr>
          <w:rFonts w:ascii="Arial" w:cs="Arial" w:eastAsia="Arial" w:hAnsi="Arial"/>
          <w:sz w:val="24"/>
          <w:szCs w:val="24"/>
        </w:rPr>
        <w:t xml:space="preserve">“</w:t>
      </w:r>
      <w:r>
        <w:rPr>
          <w:rFonts w:ascii="Arial" w:cs="Arial" w:eastAsia="Arial" w:hAnsi="Arial"/>
          <w:sz w:val="24"/>
          <w:szCs w:val="24"/>
        </w:rPr>
        <w:t xml:space="preserve">Качество и инновации в высшем образовании</w:t>
      </w:r>
      <w:r>
        <w:rPr>
          <w:rFonts w:ascii="Arial" w:cs="Arial" w:eastAsia="Arial" w:hAnsi="Arial"/>
          <w:sz w:val="24"/>
          <w:szCs w:val="24"/>
        </w:rPr>
        <w:t xml:space="preserve">”</w:t>
      </w:r>
      <w:r>
        <w:rPr>
          <w:rFonts w:ascii="Arial" w:cs="Arial" w:eastAsia="Arial" w:hAnsi="Arial"/>
          <w:sz w:val="24"/>
          <w:szCs w:val="24"/>
        </w:rPr>
        <w:t xml:space="preserve">) между Кыргызской Республикой и Международной ассоциацией развития.</w:t>
      </w:r>
    </w:p>
    <w:p>
      <w:pPr>
        <w:spacing w:after="120"/>
        <w:ind w:firstLine="397"/>
        <w:jc w:val="both"/>
      </w:pPr>
      <w:r>
        <w:rPr>
          <w:rFonts w:ascii="Arial" w:cs="Arial" w:eastAsia="Arial" w:hAnsi="Arial"/>
          <w:sz w:val="24"/>
          <w:szCs w:val="24"/>
        </w:rPr>
        <w:t xml:space="preserve">2. Уполномочить министра финансов Кыргызской Республики на подписание проекта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КРЕДИТА 7480-KG</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финансировании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(Проект "Качество и инновации в высшем образовании")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между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Кыргызской Республикой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Международной ассоциацией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КРЕДИТА 7480-KG</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ФИНАНСИРОВАНИИ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СОГЛАШЕНИЕ, датированное Датой подписания между КЫРГЫЗСКОЙ РЕСПУБЛИКОЙ ("Получатель") и МЕЖДУНАРОДНОЙ АССОЦИАЦИЕЙ РАЗВИТИЯ ("Ассоциация"), Получатель и Ассоциация настоящим соглашаются о нижеследующем: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 - ОБЩИЕ УСЛОВИЯ;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w:t>
      </w:r>
      <w:r>
        <w:rPr>
          <w:rFonts w:ascii="Arial" w:cs="Arial" w:eastAsia="Arial" w:hAnsi="Arial"/>
          <w:sz w:val="24"/>
          <w:szCs w:val="24"/>
        </w:rPr>
        <w:t xml:space="preserve">Общие условия (как определено в Приложении к настоящему Соглашению) применяются к настоящему Соглашению и являются его неотъемлемой частью.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w:t>
      </w:r>
      <w:r>
        <w:rPr>
          <w:rFonts w:ascii="Arial" w:cs="Arial" w:eastAsia="Arial" w:hAnsi="Arial"/>
          <w:sz w:val="24"/>
          <w:szCs w:val="24"/>
        </w:rPr>
        <w:t xml:space="preserve">Если контекст не требует иного, термины с заглавной буквы, используемые в настоящем Соглашении, имеют значения, приписываемые им в Общих условиях или в Приложении к настоящему Соглашению.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 - ФИНАНСИРОВАНИЕ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w:t>
      </w:r>
      <w:r>
        <w:rPr>
          <w:rFonts w:ascii="Arial" w:cs="Arial" w:eastAsia="Arial" w:hAnsi="Arial"/>
          <w:sz w:val="24"/>
          <w:szCs w:val="24"/>
        </w:rPr>
        <w:t xml:space="preserve">Ассоциация соглашается предоставить Получателю кредит, который рассматривается как Льготное финансирование для целей Общих условий, в сумме, эквивалентной двадцать пять миллионов долларов США (25000000 миллионов долларов США) (далее "Кредит" и "Финансирование"), для содействия в финансировании проекта, описанного в Приложении 1 к настоящему Соглашению ("Проект").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w:t>
      </w:r>
      <w:r>
        <w:rPr>
          <w:rFonts w:ascii="Arial" w:cs="Arial" w:eastAsia="Arial" w:hAnsi="Arial"/>
          <w:sz w:val="24"/>
          <w:szCs w:val="24"/>
        </w:rPr>
        <w:t xml:space="preserve">Получатель может осуществлять выборку средств Финансирования в соответствии с Разделом III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w:t>
      </w:r>
      <w:r>
        <w:rPr>
          <w:rFonts w:ascii="Arial" w:cs="Arial" w:eastAsia="Arial" w:hAnsi="Arial"/>
          <w:sz w:val="24"/>
          <w:szCs w:val="24"/>
        </w:rPr>
        <w:t xml:space="preserve">Максимальная ставка комиссии за обязательство составляет половину одного процента (1/2 от 1%) годовых от невыбранного остатка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w:t>
      </w:r>
      <w:r>
        <w:rPr>
          <w:rFonts w:ascii="Arial" w:cs="Arial" w:eastAsia="Arial" w:hAnsi="Arial"/>
          <w:sz w:val="24"/>
          <w:szCs w:val="24"/>
        </w:rPr>
        <w:t xml:space="preserve">Даты выплаты: 15 февраля и 15 августа каждого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w:t>
      </w:r>
      <w:r>
        <w:rPr>
          <w:rFonts w:ascii="Arial" w:cs="Arial" w:eastAsia="Arial" w:hAnsi="Arial"/>
          <w:sz w:val="24"/>
          <w:szCs w:val="24"/>
        </w:rPr>
        <w:t xml:space="preserve">Основная сумма Кредита погашается в соответствии с графиком погашения, указанным в Приложении 3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w:t>
      </w:r>
      <w:r>
        <w:rPr>
          <w:rFonts w:ascii="Arial" w:cs="Arial" w:eastAsia="Arial" w:hAnsi="Arial"/>
          <w:sz w:val="24"/>
          <w:szCs w:val="24"/>
        </w:rPr>
        <w:t xml:space="preserve">Валюта платежа - доллар США.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III - ПРОЕКТ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w:t>
      </w:r>
      <w:r>
        <w:rPr>
          <w:rFonts w:ascii="Arial" w:cs="Arial" w:eastAsia="Arial" w:hAnsi="Arial"/>
          <w:sz w:val="24"/>
          <w:szCs w:val="24"/>
        </w:rPr>
        <w:t xml:space="preserve">Получатель заявляет о своей приверженности целям Проекта. С этой целью Получатель, через МОН осуществляет Проект в соответствии с положениями Статьи V Общих условий и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IV - ВСТУПЛЕНИЕ В СИЛУ; ПРЕКРАЩЕНИЕ ДЕЙСТВИЯ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w:t>
      </w:r>
      <w:r>
        <w:rPr>
          <w:rFonts w:ascii="Arial" w:cs="Arial" w:eastAsia="Arial" w:hAnsi="Arial"/>
          <w:sz w:val="24"/>
          <w:szCs w:val="24"/>
        </w:rPr>
        <w:t xml:space="preserve"> Дополнительные условия вступления в силу состоят в следующем: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Получатель, через МОН, нанял директора, специалиста по выплатам и специалиста по закупкам для Проекта, и которые будут являться частью ОКП, все с квалификацией, опытом и кругом полномочий, удовлетворительными для Ассоциации, для Проекта и для работы в составе ОКП;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Получатель, через МОН, подготовил, провел консультации, а затем принял и раскрыл Рамочную основу экологического и социального управления (РЭСУ), удовлетворительную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4.02. </w:t>
      </w:r>
      <w:r>
        <w:rPr>
          <w:rFonts w:ascii="Arial" w:cs="Arial" w:eastAsia="Arial" w:hAnsi="Arial"/>
          <w:sz w:val="24"/>
          <w:szCs w:val="24"/>
        </w:rPr>
        <w:t xml:space="preserve">Крайним сроком вступления в силу является дата сто восемьдесят (180) дней после даты подписания.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 - ПРЕДСТАВИТЕЛЬ; АДРЕСА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5.01. </w:t>
      </w:r>
      <w:r>
        <w:rPr>
          <w:rFonts w:ascii="Arial" w:cs="Arial" w:eastAsia="Arial" w:hAnsi="Arial"/>
          <w:sz w:val="24"/>
          <w:szCs w:val="24"/>
        </w:rPr>
        <w:t xml:space="preserve">За исключением случаев, предусмотренных в Разделе 2.02 настоящего Соглашения, Представителем Получателя является его Министр финансов.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5.02. </w:t>
      </w:r>
      <w:r>
        <w:rPr>
          <w:rFonts w:ascii="Arial" w:cs="Arial" w:eastAsia="Arial" w:hAnsi="Arial"/>
          <w:sz w:val="24"/>
          <w:szCs w:val="24"/>
        </w:rPr>
        <w:t xml:space="preserve">Для целей Раздела 11.01 Общих условий: (а) адресом Получателя является: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Министерство финансов</w:t>
      </w:r>
    </w:p>
    <w:p>
      <w:pPr>
        <w:spacing w:after="120"/>
        <w:ind w:firstLine="708"/>
        <w:jc w:val="both"/>
      </w:pPr>
      <w:r>
        <w:rPr>
          <w:rFonts w:ascii="Arial" w:cs="Arial" w:eastAsia="Arial" w:hAnsi="Arial"/>
          <w:sz w:val="24"/>
          <w:szCs w:val="24"/>
        </w:rPr>
        <w:t xml:space="preserve">Бульвар Эркиндик, 58</w:t>
      </w:r>
    </w:p>
    <w:p>
      <w:pPr>
        <w:spacing w:after="120"/>
        <w:ind w:firstLine="708"/>
        <w:jc w:val="both"/>
      </w:pPr>
      <w:r>
        <w:rPr>
          <w:rFonts w:ascii="Arial" w:cs="Arial" w:eastAsia="Arial" w:hAnsi="Arial"/>
          <w:sz w:val="24"/>
          <w:szCs w:val="24"/>
        </w:rPr>
        <w:t xml:space="preserve">г.Бишкек, 720040</w:t>
      </w:r>
    </w:p>
    <w:p>
      <w:pPr>
        <w:spacing w:after="120"/>
        <w:ind w:firstLine="708"/>
        <w:jc w:val="both"/>
      </w:pPr>
      <w:r>
        <w:rPr>
          <w:rFonts w:ascii="Arial" w:cs="Arial" w:eastAsia="Arial" w:hAnsi="Arial"/>
          <w:sz w:val="24"/>
          <w:szCs w:val="24"/>
        </w:rPr>
        <w:t xml:space="preserve">Кыргызская Республика;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Электронный адрес получателя: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Факсимиле:</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5.03. </w:t>
      </w:r>
      <w:r>
        <w:rPr>
          <w:rFonts w:ascii="Arial" w:cs="Arial" w:eastAsia="Arial" w:hAnsi="Arial"/>
          <w:sz w:val="24"/>
          <w:szCs w:val="24"/>
        </w:rPr>
        <w:t xml:space="preserve">Для целей Раздела 11.01 Общих условий: (а) адресом Ассоциации является: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Международная ассоциация развития</w:t>
      </w:r>
    </w:p>
    <w:p>
      <w:pPr>
        <w:spacing w:after="120"/>
        <w:ind w:firstLine="708"/>
        <w:jc w:val="both"/>
      </w:pPr>
      <w:r>
        <w:rPr>
          <w:rFonts w:ascii="Arial" w:cs="Arial" w:eastAsia="Arial" w:hAnsi="Arial"/>
          <w:sz w:val="24"/>
          <w:szCs w:val="24"/>
        </w:rPr>
        <w:t xml:space="preserve">1818 Н Street, N.W.</w:t>
      </w:r>
    </w:p>
    <w:p>
      <w:pPr>
        <w:spacing w:after="120"/>
        <w:ind w:firstLine="708"/>
        <w:jc w:val="both"/>
      </w:pPr>
      <w:r>
        <w:rPr>
          <w:rFonts w:ascii="Arial" w:cs="Arial" w:eastAsia="Arial" w:hAnsi="Arial"/>
          <w:sz w:val="24"/>
          <w:szCs w:val="24"/>
        </w:rPr>
        <w:t xml:space="preserve">Вашингтон, округ Колумбия 20433</w:t>
      </w:r>
    </w:p>
    <w:p>
      <w:pPr>
        <w:spacing w:after="120"/>
        <w:ind w:firstLine="708"/>
        <w:jc w:val="both"/>
      </w:pPr>
      <w:r>
        <w:rPr>
          <w:rFonts w:ascii="Arial" w:cs="Arial" w:eastAsia="Arial" w:hAnsi="Arial"/>
          <w:sz w:val="24"/>
          <w:szCs w:val="24"/>
        </w:rPr>
        <w:t xml:space="preserve">Соединенные Штаты Америки;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Электронный адрес Ассоциации: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Факсимиле</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на дату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 стороны </w:t>
      </w:r>
    </w:p>
    <w:p>
      <w:pPr>
        <w:spacing w:after="120"/>
        <w:jc w:val="right"/>
      </w:pP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________________________________ </w:t>
      </w:r>
    </w:p>
    <w:p>
      <w:pPr>
        <w:tabs>
          <w:tab w:val="right" w:pos="10178"/>
        </w:tabs>
        <w:spacing w:after="120"/>
      </w:pPr>
      <w:r>
        <w:rPr>
          <w:rFonts w:ascii="Arial" w:cs="Arial" w:eastAsia="Arial" w:hAnsi="Arial"/>
          <w:b/>
          <w:bCs/>
          <w:sz w:val="24"/>
          <w:szCs w:val="24"/>
        </w:rPr>
        <w:t xml:space="preserve">Должность:</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Дата:</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spacing w:after="60"/>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 стороны </w:t>
      </w:r>
    </w:p>
    <w:p>
      <w:pPr>
        <w:spacing w:after="120"/>
        <w:jc w:val="both"/>
      </w:pP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Должность:</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Дата:</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Приложение 1 </w:t>
      </w:r>
    </w:p>
    <w:p>
      <w:pPr>
        <w:spacing w:after="12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Целями проекта являются улучшение качества исследований и повышение качества программ высшего образования и их соответствия рынку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Проект состоит из следующих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Повышение качества и актуальности исследований, инноваций и учебных программ в отобранных ВУЗах</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Повышение актуальности исследований и сотрудничества в ключевых приоритетных областях экономики, а также качества и актуальности академических программ отобранных ВУЗов на рынке труда, в том числе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создание центров передового опыта (ЦПО), включая подготовку руководства по эксплуатации и планов стратегического развития для таких ЦПО;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предоставление специализированного оборудования и материалов для исследований, подписки и цифрового доступа к исследовательским ресурсам, а также обучение сотрудников и студентов работе с исследовательскими ресурсами;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обучение персонала для содействия коммерциализации результатов исследований;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наращивание потенциала для содействия профессиональному развитию, включая возможности командирования и выезда на позиции;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(e) обеспечение учебным и лабораторным оборудованием, материалами и обучением для поддержки модернизации академических программ и внедрения соответствующих рынку краткосрочных курсов; а также;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(f) проведение опросов по отслеживанию выпускников для оценки результатов трудоустройства выпускников.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Наращивание исследовательского и инновационного потенциала университетов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Создание и управление конкурсной программой грантов, направленной на укрепление университетско-отраслевого и межуниверситетского сотрудничества и улучшение исследовательского потенциала ("Академический инновационный фонд" или "АИФ"), для предоставления грантов ВУЗам для соответствующих подпроектов для финансирования, среди прочего, лабораторного оборудования, программного обеспечения для моделирования, исследовательских инструментов, консультационных услуг и операционных расходов ВУЗа.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Укрепление управления системой высшего образования в целях обеспечения качества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Укрепление систем обеспечения качества и аккредитации посредством технической помощи и наращивания потенциала для поддержки, среди прочего: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внедрение для ВУЗов, аккредитационных агентств и соответствующих государственных органов показателей, основанных на результатах для обеспечения актуальности академических программ и эффективной исследовательской деятельности;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улучшение процедур оценки цифрового преподавания в ВУЗах;</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установление критериев оценки ВУЗов согласно их соответствующим профилям;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(iv) укрепление сотрудничества между подразделениями обеспечения качества ВУЗов и аккредитационными агентствами;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 отчеты о самооценке в ВУЗах;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(vi) улучшение качества существующей рейтинговой системы ВУЗов.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Поддержка управления проектами, мониторинга и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Поддержка МОиН в координации, реализации, мониторинге и оценке Проекта, экологическом и социальном управлении и надзоре посредством обеспечения товарами, консультантами и покрытия операционных расходов, включая проведением ежегодных аудитов и исследований, а также семинаров для получения обратной связи от бенефициаров.</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Приложение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Реализация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 </w:t>
      </w:r>
      <w:r>
        <w:rPr>
          <w:rFonts w:ascii="Arial" w:cs="Arial" w:eastAsia="Arial" w:hAnsi="Arial"/>
          <w:b/>
          <w:bCs/>
          <w:sz w:val="24"/>
          <w:szCs w:val="24"/>
        </w:rPr>
        <w:t xml:space="preserve">Механизмы реализации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 </w:t>
      </w:r>
      <w:r>
        <w:rPr>
          <w:rFonts w:ascii="Arial" w:cs="Arial" w:eastAsia="Arial" w:hAnsi="Arial"/>
          <w:b/>
          <w:bCs/>
          <w:sz w:val="24"/>
          <w:szCs w:val="24"/>
        </w:rPr>
        <w:t xml:space="preserve">Институциональные механизмы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Получатель через МОН несет ответственность за общую реализацию Проекта и поддерживает на протяжении всей реализации Проекта следующие институциональные механизмы: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Наблюдательный совет, ответственный за обеспечение стратегического руководства и общего надзора за Проектом для обеспечения межведомственной координации, с мандатами, функциями, обязанностями, структурами, ресурсами и персоналом, как более подробно описано в ОРП и приемлемо для Ассоциации.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w:t>
      </w:r>
      <w:r>
        <w:rPr>
          <w:rFonts w:ascii="Arial" w:cs="Arial" w:eastAsia="Arial" w:hAnsi="Arial"/>
          <w:sz w:val="24"/>
          <w:szCs w:val="24"/>
        </w:rPr>
        <w:t xml:space="preserve"> ОКП, в рамках МОН, ответственный за выполнение ключевых функций управления Проектом, включая координацию, фидуциарные функции, мониторинг и оценку, управление социальными и экологическими стандартами и функции отчетности, с мандатами, функциями, обязанностями, структурами, ресурсами и персоналом, как описано далее в ОРП и приемлемо для Ассоциации. Не ограничиваясь вышесказанным, в состав ОКП должны входить директор, специалист по финансовому управлению, специалист по экологическим и социальным вопросам, специалист по предоставлению средств, специалист по закупкам и переводчик, каждый из которых обладает квалификацией, опытом и кругом полномочий, удовлетворяющими Ассоциацию.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Получатель, через МОН, не позднее двух (2) месяцев с Даты вступления в силу создаст Совет по исследованиям и инновациям в составе, указанном в ОРП, который будет отвечать, среди прочего, за предоставление консультаций и рекомендаций на высоком уровне (i) МОН и ЦПО для продвижения исследований и инноваций в ВУЗах и содействия сотрудничеству и партнерству между ВУЗами и с промышленностью и (ii) МОН по АИФ, в соответствии с тем, как это определено в ОРП.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 </w:t>
      </w:r>
      <w:r>
        <w:rPr>
          <w:rFonts w:ascii="Arial" w:cs="Arial" w:eastAsia="Arial" w:hAnsi="Arial"/>
          <w:b/>
          <w:bCs/>
          <w:sz w:val="24"/>
          <w:szCs w:val="24"/>
        </w:rPr>
        <w:t xml:space="preserve">Соглашения с ВУЗами в рамках Части 1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содействия реализации Части 1 Проекта Получатель должен заключить соглашения с каждым отобранным ВУЗом на условиях, удовлетворяющих Ассоциацию ("Соглашения с ВУЗом"), которые, в частности, включают, (а) обязательство Получателя передать соответствующему ВУЗу активы, результаты и результаты услуг, приобретенных для Части А Проекта за счет Кредитных средств и средств для покрытия Операционных расходов ВУЗа для такого ВУЗа по Части 1 Проекта соответствующему ВУЗу и (b) при необходимости, любые условия возмещения или погашения, в зависимости от обстоятельств, соответствующим ВУЗом за указанные активы и средства Получателю. Условия возмещения или возврата, в зависимости от обстоятельств, должны быть эквивалентны условиям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Получатель, посредством Соглашений с ВУЗами, получает права, достаточные для защиты своих интересов и интересов Ассоциации, а именно: каждый ВУЗ обязан: (1) выполнить или обеспечить выполнение Части 1 Проекта с должной тщательностью и эффективностью и в соответствии с надежными техническими, экономическими, финансовыми, управленческими, экологическими и социальными стандартами и практиками, удовлетворительными для Ассоциации, в том числе в соответствии с: (а) положениями Руководства по борьбе с коррупцией, применимыми к получателям средств финансирования, отличным от Получателя; и (b) СЭС (включая ПЭСО); (2) поддерживать политику и процедуры, достаточные для того, чтобы иметь возможность контролировать и оценивать в соответствии с показателями, приемлемыми для Ассоциации, ход реализации соответствующей части (частей) Проекта и достижения цели Проекта; (3) предоставить Получателю и Ассоциации возможность проверить деятельность по Проекту, осуществляемую ВУЗом, его работу и любые соответствующие записи и документы; и (4) подготовить и предоставить Получателю и Ассоциации всю такую информацию, которую Получатель или Ассоциация обоснованно запросят в связи с вышеизложенным.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Получатель осуществляет свои права по Соглашениям с ВУЗами таким образом, чтобы защитить интересы Получателя и Ассоциации и достичь целей Финансирования, и, за исключением случаев, когда Ассоциация согласится на иное, Получатель не должен уступать, изменять, отменять или отказываться от вышеупомянутого или любого его положения, или позволять уступать, изменять, отменять или отказываться от него.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  </w:t>
      </w:r>
      <w:r>
        <w:rPr>
          <w:rFonts w:ascii="Arial" w:cs="Arial" w:eastAsia="Arial" w:hAnsi="Arial"/>
          <w:b/>
          <w:bCs/>
          <w:sz w:val="24"/>
          <w:szCs w:val="24"/>
        </w:rPr>
        <w:t xml:space="preserve">Гранты в рамках Части 2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реализации Части 2 Проекта, Получатель, через МОН, должен: (а) отобрать ВУЗы и Подпроекты в соответствии с критериями приемлемости и процедурами, изложенными в Руководстве по грантам АИФ; и (b) предоставить гранты (в натуральной форме и в виде средств для покрытия операционных расходов ВУЗа) выбранным ВУЗам для выбранных Подпроектов в рамках соответствующего Грантового соглашения между Получателем через МОН и таким ВУЗом, на условиях, утвержденных Ассоциацией, которые включают условия, изложенные в Разделе I.С.2 Приложения 2 к настоящему Соглашению и в Руководстве по грантам АИФ.</w:t>
      </w:r>
    </w:p>
    <w:p>
      <w:pPr>
        <w:spacing w:after="120"/>
        <w:ind w:firstLine="397"/>
        <w:jc w:val="both"/>
      </w:pPr>
      <w:r>
        <w:rPr>
          <w:rFonts w:ascii="Arial" w:cs="Arial" w:eastAsia="Arial" w:hAnsi="Arial"/>
          <w:sz w:val="24"/>
          <w:szCs w:val="24"/>
        </w:rPr>
        <w:t xml:space="preserve">2.  Получатель, через МОН, должен:</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Обеспечить, чтобы грант (в натуральной форме и в виде средств для покрытия операционных расходов ВУЗа) для Подпроекта был в сумме, не превышающей 200000 долларов США.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Обеспечить подготовку каждого Грантового соглашения на основе типовой формы, утвержденной Ассоциацией и включенной в Руководство по грантам АИФ, в котором Получатель получает права, достаточные для защиты своих интересов и интересов Ассоциации, включая право на: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приостановление или прекращение права ВУЗа на использование средств Гранта или получение возврата всей или любой части суммы Гранта, которая была выплачена, в случае невыполнения ВУЗом каких-либо обязательств по Грантовому соглашению;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w:t>
      </w:r>
      <w:r>
        <w:rPr>
          <w:rFonts w:ascii="Arial" w:cs="Arial" w:eastAsia="Arial" w:hAnsi="Arial"/>
          <w:sz w:val="24"/>
          <w:szCs w:val="24"/>
        </w:rPr>
        <w:t xml:space="preserve">требование к каждому ВУЗу: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w:t>
      </w:r>
      <w:r>
        <w:rPr>
          <w:rFonts w:ascii="Arial" w:cs="Arial" w:eastAsia="Arial" w:hAnsi="Arial"/>
          <w:sz w:val="24"/>
          <w:szCs w:val="24"/>
        </w:rPr>
        <w:t xml:space="preserve">осуществлять соответствующий Подпроект с должным усердием и эффективностью и в соответствии с надлежащими техническими, экономическими, финансовыми, управленческими, экологическими и социальными стандартами и практиками, приемлемыми для Ассоциации, в том числе в соответствии с положениями Руководства по борьбе с коррупцией, применимыми к получателям средств финансирования, помимо Получателя, а также в соответствии с СЭС и ПЭСО;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w:t>
      </w:r>
      <w:r>
        <w:rPr>
          <w:rFonts w:ascii="Arial" w:cs="Arial" w:eastAsia="Arial" w:hAnsi="Arial"/>
          <w:sz w:val="24"/>
          <w:szCs w:val="24"/>
        </w:rPr>
        <w:t xml:space="preserve">своевременно предоставлять, по мере необходимости, ресурсы, необходимые для осуществления Подпроекта;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w:t>
      </w:r>
      <w:r>
        <w:rPr>
          <w:rFonts w:ascii="Arial" w:cs="Arial" w:eastAsia="Arial" w:hAnsi="Arial"/>
          <w:sz w:val="24"/>
          <w:szCs w:val="24"/>
        </w:rPr>
        <w:t xml:space="preserve">использовать грант исключительно для целей, определенных для соответствующего Подпроекта;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(iv) </w:t>
      </w:r>
      <w:r>
        <w:rPr>
          <w:rFonts w:ascii="Arial" w:cs="Arial" w:eastAsia="Arial" w:hAnsi="Arial"/>
          <w:sz w:val="24"/>
          <w:szCs w:val="24"/>
        </w:rPr>
        <w:t xml:space="preserve">соблюдать политику и процедуры, позволяющие ему осуществлять мониторинг и оценку хода реализации соответствующего Подпроекта в соответствии с показателями, приемлемыми для Ассоциации и достичь его целей;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 </w:t>
      </w:r>
      <w:r>
        <w:rPr>
          <w:rFonts w:ascii="Arial" w:cs="Arial" w:eastAsia="Arial" w:hAnsi="Arial"/>
          <w:sz w:val="24"/>
          <w:szCs w:val="24"/>
        </w:rPr>
        <w:t xml:space="preserve">соблюдать упрощенную систему финансового управления и вести учет в соответствии с последовательно применяемыми стандартами бухгалтерского учета, приемлемыми для Ассоциации, и в порядке, достаточном для отражения операций, ресурсов и расходов, связанных с Подпроектом;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(vi) </w:t>
      </w:r>
      <w:r>
        <w:rPr>
          <w:rFonts w:ascii="Arial" w:cs="Arial" w:eastAsia="Arial" w:hAnsi="Arial"/>
          <w:sz w:val="24"/>
          <w:szCs w:val="24"/>
        </w:rPr>
        <w:t xml:space="preserve">предоставить Получателю и Ассоциации возможность проверять Подпроект, его работу и любые соответствующие записи и документы;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(vii) </w:t>
      </w:r>
      <w:r>
        <w:rPr>
          <w:rFonts w:ascii="Arial" w:cs="Arial" w:eastAsia="Arial" w:hAnsi="Arial"/>
          <w:sz w:val="24"/>
          <w:szCs w:val="24"/>
        </w:rPr>
        <w:t xml:space="preserve">подготовить и предоставить Получателю и Ассоциации всю такую информацию, которую Получатель или Ассоциация обоснованно запросят в связи с вышеизложенным.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Осуществлять свои права и выполнять свои обязательства по каждому Грантовому соглашению таким образом, чтобы защитить интересы Получателя и Ассоциации и достичь целей Гранта. Если Ассоциация не договорится об ином, Получатель не должен переуступать, изменять, отменять, отказываться, прекращать или не обеспечивать исполнение любого Грантового соглашения или любых его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D.</w:t>
      </w:r>
      <w:r>
        <w:rPr>
          <w:rFonts w:ascii="Arial" w:cs="Arial" w:eastAsia="Arial" w:hAnsi="Arial"/>
          <w:b/>
          <w:bCs/>
          <w:sz w:val="24"/>
          <w:szCs w:val="24"/>
        </w:rPr>
        <w:t xml:space="preserve"> Руководства по проекту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Получатель, через МОН, не позднее, чем через два (2) месяца после Даты вступления в силу, подготовит и примет ОРП в соответствии с настоящим Соглашением и в порядке, удовлетворительном для Ассоциации, и обеспечит, чтобы Проект осуществлялся в соответствии с ОРП, устанавливающим правила, методы, руководства и процедуры для осуществления Проекта, включая, среди прочего: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подробное описание проекта и институциональных механизмов реализации проекта, включая четкое описание полномочий по принятию решений между участвующими структурами;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w:t>
      </w:r>
      <w:r>
        <w:rPr>
          <w:rFonts w:ascii="Arial" w:cs="Arial" w:eastAsia="Arial" w:hAnsi="Arial"/>
          <w:sz w:val="24"/>
          <w:szCs w:val="24"/>
        </w:rPr>
        <w:t xml:space="preserve">процедуры отбора и работы ВУЗов, которым будет оказана поддержка в рамках Части 1 Проекта, а также условия такой поддержки и Соглашения с ВУЗами, включая то, что поддержка ВУЗа не должна превышать 100000 долларов США для существующей академической программы и 200000 долларов США для новой академической программы;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w:t>
      </w:r>
      <w:r>
        <w:rPr>
          <w:rFonts w:ascii="Arial" w:cs="Arial" w:eastAsia="Arial" w:hAnsi="Arial"/>
          <w:sz w:val="24"/>
          <w:szCs w:val="24"/>
        </w:rPr>
        <w:t xml:space="preserve">процедуры мониторинга, оценки, отчетности и управления Проектом;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w:t>
      </w:r>
      <w:r>
        <w:rPr>
          <w:rFonts w:ascii="Arial" w:cs="Arial" w:eastAsia="Arial" w:hAnsi="Arial"/>
          <w:sz w:val="24"/>
          <w:szCs w:val="24"/>
        </w:rPr>
        <w:t xml:space="preserve">общие процедуры предоставления средств, финансового управления и аудита Проекта;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(e) </w:t>
      </w:r>
      <w:r>
        <w:rPr>
          <w:rFonts w:ascii="Arial" w:cs="Arial" w:eastAsia="Arial" w:hAnsi="Arial"/>
          <w:sz w:val="24"/>
          <w:szCs w:val="24"/>
        </w:rPr>
        <w:t xml:space="preserve">процедуры закупок по Проекту.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Получатель, через МОН должен принять Руководство по грантам АИФ в форме и по существу, удовлетворяющей Ассоциацию, и должен обеспечить, чтобы часть 2 Проекта осуществлялась в соответствии с Руководством по грантам АИФ, устанавливающим порядок, правила, методы, руководства и процедуры для осуществления части 2 Проекта, включая критерии приемлемости и отбора и процедуры отбора ВУЗов и Подпроектов в рамках указанной части 2 Проекта и условия такой поддержки, (включая шаблонное соглашение о предоставлении гранта), а также подробную информацию об обязанностях и составе секретариата и технической группы, которые будут созданы при МОН для АИФ.</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В случае, если какое-либо положение Руководства по проекту противоречит какому-либо положению настоящего Соглашения, положения настоящего Соглашения имеют преимущественную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Получатель, через МОН, должен обеспечить, чтобы в Руководства по проекту не вносились изменения без предварительного письменного согласия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Е. </w:t>
      </w:r>
      <w:r>
        <w:rPr>
          <w:rFonts w:ascii="Arial" w:cs="Arial" w:eastAsia="Arial" w:hAnsi="Arial"/>
          <w:b/>
          <w:bCs/>
          <w:sz w:val="24"/>
          <w:szCs w:val="24"/>
        </w:rPr>
        <w:t xml:space="preserve">Экологические и социальные стандарты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Получатель должен обеспечить, чтобы Проект осуществлялся в соответствии с Экологическими и социальными стандартами, способом, приемлемым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Без ограничения пункта 1 выше, Получатель должен обеспечить реализацию Проекта в соответствии с Планом экологических и социальных обязательств ("ПЭСО"), способом, приемлемым для Ассоциации. С этой целью Получатель должен обеспечить, чтобы: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меры и действия, указанные в ПЭСО, осуществлялись с должным усердием и эффективностью, как это предусмотрено в ПЭСО;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w:t>
      </w:r>
      <w:r>
        <w:rPr>
          <w:rFonts w:ascii="Arial" w:cs="Arial" w:eastAsia="Arial" w:hAnsi="Arial"/>
          <w:sz w:val="24"/>
          <w:szCs w:val="24"/>
        </w:rPr>
        <w:t xml:space="preserve">имелись достаточные средства для покрытия расходов на реализацию ПЭСО;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w:t>
      </w:r>
      <w:r>
        <w:rPr>
          <w:rFonts w:ascii="Arial" w:cs="Arial" w:eastAsia="Arial" w:hAnsi="Arial"/>
          <w:sz w:val="24"/>
          <w:szCs w:val="24"/>
        </w:rPr>
        <w:t xml:space="preserve">соблюдались политики и процедуры, а также привлекался квалифицированный и опытный персонал в достаточном количестве для реализации ПЭСО, как это предусмотрено в ПЭСО;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w:t>
      </w:r>
      <w:r>
        <w:rPr>
          <w:rFonts w:ascii="Arial" w:cs="Arial" w:eastAsia="Arial" w:hAnsi="Arial"/>
          <w:sz w:val="24"/>
          <w:szCs w:val="24"/>
        </w:rPr>
        <w:t xml:space="preserve">ПЭСО или любое его положение не подвергалось изменениям, отмене, приостановлению или отказу от исполнения, если Ассоциация не договорится об ином в письменном виде, как указано в ПЭСО, и обеспечить незамедлительное раскрытие пересмотренного ПЭСО после этого.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В случае каких-либо противоречий между ПЭСО и положениями настоящего Соглашения, положения настоящего Соглашения имеют преимущественную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Получатель должен обеспечить, чтобы: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принимались все необходимые меры для сбора, составления и предоставления Ассоциации в виде регулярных отчетов с периодичностью, указанной в ПЭСО, и незамедлительно в виде отдельного отчета или отчетов, если Ассоциация потребует этого, информации о состоянии соблюдения ПЭСО и упомянутых в нем экологических и социальных инструментов, причем все такие отчеты составлялись в приемлемой для Ассоциации форме и по существу и содержали, в частности, следующее: (i) статус реализации ПЭСО; (ii) условия, если таковые имеются, которые препятствуют или угрожают препятствовать реализации ПЭСО; и (iii) корректирующие и превентивные меры, принятые или требуемые для устранения таких условий;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w:t>
      </w:r>
      <w:r>
        <w:rPr>
          <w:rFonts w:ascii="Arial" w:cs="Arial" w:eastAsia="Arial" w:hAnsi="Arial"/>
          <w:sz w:val="24"/>
          <w:szCs w:val="24"/>
        </w:rPr>
        <w:t xml:space="preserve">Ассоциация была своевременно уведомлена о любом инциденте или несчастном случае, связанном с Проектом или оказывающим влияние на него, который оказывает или может оказать значительное негативное воздействие на окружающую среду, затронутые сообщества, население или работников, в соответствии с ПЭСО, упомянутыми в нем экологическими и социальными инструментами и Экологическими и социальными стандартами.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Получатель должен создать, обнародовать, поддерживать и эксплуатировать доступный механизм рассмотрения жалоб для получения и содействия разрешению проблем и жалоб людей, затронутых проектом, и принять все необходимые и надлежащие меры для разрешения или содействия разрешению таких проблем и жалоб в форме, приемлемой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II. </w:t>
      </w:r>
      <w:r>
        <w:rPr>
          <w:rFonts w:ascii="Arial" w:cs="Arial" w:eastAsia="Arial" w:hAnsi="Arial"/>
          <w:b/>
          <w:bCs/>
          <w:sz w:val="24"/>
          <w:szCs w:val="24"/>
        </w:rPr>
        <w:t xml:space="preserve">Мониторинг, отчетность и оценка Проекта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Получатель, через МОН, должен предоставлять Ассоциации отчет по Проекту за каждое календарное полугодие, не позднее, чем через месяц после окончания каждого календарного полугодия.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III. </w:t>
      </w:r>
      <w:r>
        <w:rPr>
          <w:rFonts w:ascii="Arial" w:cs="Arial" w:eastAsia="Arial" w:hAnsi="Arial"/>
          <w:b/>
          <w:bCs/>
          <w:sz w:val="24"/>
          <w:szCs w:val="24"/>
        </w:rPr>
        <w:t xml:space="preserve">Использование средств финансирования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 </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Без ограничения положений Статьи II Общих условий и в соответствии с Письмом о предоставлении средств и финансовой информации Получатель может использовать средства Финансирования для финансирования Допустимых расходов в выделенной сумме и, если применимо, не превышая процент, указанный напротив каждой Категории в следующей таблице: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2196"/>
        <w:gridCol w:w="2804"/>
      </w:tblGrid>
      <w:tr>
        <w:tc>
          <w:tcPr>
            <w:tcW w:type="dxa" w:w="5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w:t>
            </w:r>
          </w:p>
          <w:p>
            <w:pPr>
              <w:jc w:val="center"/>
            </w:pPr>
            <w:r>
              <w:rPr>
                <w:rFonts w:ascii="Arial" w:cs="Arial" w:eastAsia="Arial" w:hAnsi="Arial"/>
                <w:b/>
                <w:bCs/>
                <w:sz w:val="24"/>
                <w:szCs w:val="24"/>
              </w:rPr>
              <w:t xml:space="preserve">кредита (выраженная в</w:t>
            </w:r>
          </w:p>
          <w:p>
            <w:pPr>
              <w:jc w:val="center"/>
            </w:pPr>
            <w:r>
              <w:rPr>
                <w:rFonts w:ascii="Arial" w:cs="Arial" w:eastAsia="Arial" w:hAnsi="Arial"/>
                <w:b/>
                <w:bCs/>
                <w:sz w:val="24"/>
                <w:szCs w:val="24"/>
              </w:rPr>
              <w:t xml:space="preserve">долларах США)</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доля расходов,</w:t>
            </w:r>
          </w:p>
          <w:p>
            <w:pPr>
              <w:jc w:val="center"/>
            </w:pPr>
            <w:r>
              <w:rPr>
                <w:rFonts w:ascii="Arial" w:cs="Arial" w:eastAsia="Arial" w:hAnsi="Arial"/>
                <w:b/>
                <w:bCs/>
                <w:sz w:val="24"/>
                <w:szCs w:val="24"/>
              </w:rPr>
              <w:t xml:space="preserve">подлежащих</w:t>
            </w:r>
          </w:p>
          <w:p>
            <w:pPr>
              <w:jc w:val="center"/>
            </w:pPr>
            <w:r>
              <w:rPr>
                <w:rFonts w:ascii="Arial" w:cs="Arial" w:eastAsia="Arial" w:hAnsi="Arial"/>
                <w:b/>
                <w:bCs/>
                <w:sz w:val="24"/>
                <w:szCs w:val="24"/>
              </w:rPr>
              <w:t xml:space="preserve">финансированию</w:t>
            </w:r>
          </w:p>
          <w:p>
            <w:pPr>
              <w:jc w:val="center"/>
            </w:pPr>
            <w:r>
              <w:rPr>
                <w:rFonts w:ascii="Arial" w:cs="Arial" w:eastAsia="Arial" w:hAnsi="Arial"/>
                <w:b/>
                <w:bCs/>
                <w:sz w:val="24"/>
                <w:szCs w:val="24"/>
              </w:rPr>
              <w:t xml:space="preserve">(включая налоги)</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Товары, неконсультационные услуги, консультационные услуги, обучение и операционные расходы ВУЗов по Части 1 Проекта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r>
              <w:rPr>
                <w:rFonts w:ascii="Arial" w:cs="Arial" w:eastAsia="Arial" w:hAnsi="Arial"/>
                <w:sz w:val="24"/>
                <w:szCs w:val="24"/>
              </w:rPr>
              <w:t xml:space="preserve">700 000</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Товары, неконсультационные услуги, консультационные услуги, обучение и операционные расходы в рамках Частей 3 и 4 Проекта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300 000</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Товары, неконсультационные услуги, консультационные услуги, обучение и операционные расходы ВУЗов в рамках грантов, управляемых централизованно ОКП в соответствии с Частью 2 Проекта, 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Гранты, непосредственно выплачиваемые ВУЗам на операционные расходы ВУЗов в рамках Части 2 Проекта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000 000</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и </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100% грантов, выделенных</w:t>
            </w:r>
          </w:p>
          <w:p>
            <w:pPr>
              <w:jc w:val="center"/>
            </w:pPr>
            <w:r>
              <w:rPr>
                <w:rFonts w:ascii="Arial" w:cs="Arial" w:eastAsia="Arial" w:hAnsi="Arial"/>
                <w:sz w:val="24"/>
                <w:szCs w:val="24"/>
              </w:rPr>
              <w:t xml:space="preserve">ВУЗам на операционные</w:t>
            </w:r>
          </w:p>
          <w:p>
            <w:pPr>
              <w:jc w:val="center"/>
            </w:pPr>
            <w:r>
              <w:rPr>
                <w:rFonts w:ascii="Arial" w:cs="Arial" w:eastAsia="Arial" w:hAnsi="Arial"/>
                <w:sz w:val="24"/>
                <w:szCs w:val="24"/>
              </w:rPr>
              <w:t xml:space="preserve">расходы ВУЗов</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ОБЩАЯ СУММА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r>
              <w:rPr>
                <w:rFonts w:ascii="Arial" w:cs="Arial" w:eastAsia="Arial" w:hAnsi="Arial"/>
                <w:sz w:val="24"/>
                <w:szCs w:val="24"/>
              </w:rPr>
              <w:t xml:space="preserve">000 000</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w:t>
      </w:r>
      <w:r>
        <w:rPr>
          <w:rFonts w:ascii="Arial" w:cs="Arial" w:eastAsia="Arial" w:hAnsi="Arial"/>
          <w:b/>
          <w:bCs/>
          <w:sz w:val="24"/>
          <w:szCs w:val="24"/>
        </w:rPr>
        <w:t xml:space="preserve"> Условия снятия средств; Период снятия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Независимо от положений Части А настоящего Раздела, снятие средств не допускается: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для оплаты расходов, понесенных до Даты подписания; или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в рамках Категории (1) до тех пор, пока Ассоциация не получит удовлетворительные доказательства того, что между Получателем и отобранными ВУЗами было заключено хотя бы одно Соглашение с ВУЗом, удовлетворяющее Ассоциацию;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по Категории (3) до тех пор, пока Ассоциация не получит удовлетворительные доказательства того, что Руководство по грантам АИФ, удовлетворительное для Ассоциации, было принято МОН.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Датой закрытия является 30 ноября 2029 года.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Приложение 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График погашения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0"/>
        <w:gridCol w:w="5478"/>
      </w:tblGrid>
      <w:tr>
        <w:tc>
          <w:tcPr>
            <w:tcW w:type="dxa" w:w="47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оплаты</w:t>
            </w:r>
          </w:p>
        </w:tc>
        <w:tc>
          <w:tcPr>
            <w:tcW w:type="dxa" w:w="5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w:t>
            </w:r>
          </w:p>
          <w:p>
            <w:pPr>
              <w:jc w:val="center"/>
            </w:pPr>
            <w:r>
              <w:rPr>
                <w:rFonts w:ascii="Arial" w:cs="Arial" w:eastAsia="Arial" w:hAnsi="Arial"/>
                <w:b/>
                <w:bCs/>
                <w:sz w:val="24"/>
                <w:szCs w:val="24"/>
              </w:rPr>
              <w:t xml:space="preserve">подлежащего погашению</w:t>
            </w:r>
          </w:p>
          <w:p>
            <w:pPr>
              <w:jc w:val="center"/>
            </w:pPr>
            <w:r>
              <w:rPr>
                <w:rFonts w:ascii="Arial" w:cs="Arial" w:eastAsia="Arial" w:hAnsi="Arial"/>
                <w:b/>
                <w:bCs/>
                <w:sz w:val="24"/>
                <w:szCs w:val="24"/>
              </w:rPr>
              <w:t xml:space="preserve">(выражено в процентах)*</w:t>
            </w:r>
          </w:p>
        </w:tc>
      </w:tr>
      <w:tr>
        <w:tc>
          <w:tcPr>
            <w:tcW w:type="dxa" w:w="47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февраля и 15 августа каждого года:</w:t>
            </w:r>
          </w:p>
        </w:tc>
        <w:tc>
          <w:tcPr>
            <w:tcW w:type="dxa" w:w="5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начиная с 15 февраля 2034 г. до 15 августа 2073 г. включительно</w:t>
            </w:r>
          </w:p>
        </w:tc>
        <w:tc>
          <w:tcPr>
            <w:tcW w:type="dxa" w:w="5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r>
    </w:tbl>
    <w:p>
      <w:pPr>
        <w:spacing w:after="120"/>
        <w:ind w:firstLine="397"/>
        <w:jc w:val="both"/>
      </w:pPr>
      <w:r>
        <w:rPr>
          <w:rFonts w:ascii="Arial" w:cs="Arial" w:eastAsia="Arial" w:hAnsi="Arial"/>
          <w:sz w:val="24"/>
          <w:szCs w:val="24"/>
        </w:rPr>
        <w:t xml:space="preserve">(*) Проценты представляют собой процент от основной суммы Кредита, подлежащей погашению, за исключением случаев, когда Ассоциация может указать иное, в соответствии с перенумерованным Разделом 3.03 (b) (первоначально Раздел 3.05 (b)) Общих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ДОПОЛНЕНИЕ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"Академический инновационный фонд" или аббревиатура "АИФ" - означает программу грантов, которой будет управлять МОН в соответствии с частью 2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"Руководство по грантам АИФ" - означает руководство, подготовленное и принятое Получателем, удовлетворительное для Ассоциации, устанавливающее правила, методы, руководящие принципы и процедуры для осуществления Части 2 Проекта, как указано в Разделе I.D.2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"Руководство по борьбе с коррупцией" - означает, для целей пункта 5 Приложения к Общим условиям, "Руководство по предотвращению и борьбе с мошенничеством и коррупцией в проектах, финансируемых за счет займов МБРР и кредитов и грантов МАР", от 15 октября 2006 года, пересмотренное в январе 2011 года и по состоянию на 1 июля 2016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 "Категория" - означает категорию, указанную в таблице в Разделе III. А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 "Центр передового опыта" и соответствующая аббревиатура "ЦПО" - означает специальный отдел в ВУЗе, выбранный Получателем по согласованию с Ассоциацией, и получивший специальный статус в соответствии с указом, для обеспечения руководства и поддержки междисциплинарных и совместных исследований и инноваций по выбранным темам.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"План экологических и социальных обязательств" или "ПЭСО" - означает план экологических и социальных обязательств по Проекту от 27 ноября 2023 г., в который, время от времени, могут вноситься изменения в соответствии с его положениями, в котором изложены существенные меры и действия, которые Получатель должен осуществить или обеспечить их осуществление для устранения потенциальных экологических и социальных рисков и воздействий Проекта, и в котором указаны сроки осуществления действий и мер, институциональные, кадровые, учебные, мониторинговые и отчетные механизмы, а также любые экологические и социальные инструменты, которые должны быть разработаны в соответствии с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 "Рамочная основа экологического и социального управления" или "РЭСУ" - означает рамочную основу экологического и социального управления Получателя для Проекта, приемлемую для Ассоциации и принятую и раскрытую или подлежащую принятию и раскрытию, в зависимости от обстоятельств, Получателем и Ассоциацией, устанавливающую, среди прочего: (а) общие руководящие принципы и процедуры, позволяющие избежать, смягчить или свести к минимуму неблагоприятные экологические и социальные последствия деятельности по Проекту; (b) описание процессов экологической и социальной проверки, которые помогут определить экологическую категорию деятельности на конкретном участке; и (с) требования к экологической оценке конкретного объекта, поскольку в указанную рамочную основу могут время от времени вноситься поправки с согласия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 "Экологические и социальные стандарты" или "ЭСС" вместе означают следующее: (i) "Экологический и социальный стандарт 1: Оценка и управление экологическими и социальными рисками и воздействиями"; (ii) "Экологический и социальный стандарт 2: Рабочий персонал и условия труда"; (iii) "Экологический и социальный стандарт 3: Рациональное использование ресурсов, предотвращение загрязнения окружающей среды и управление"; (iv) "Экологический и социальный стандарт 4: Охрана здоровья и обеспечение безопасности населения"; (v) "Экологический и социальный стандарт 5: Приобретение земли, ограничение права землепользования и принудительное переселение"; (vi) "Экологический и социальный стандарт 6: Сохранение биоразнообразия и устойчивое управление живыми природными ресурсами"; (vii) "Экологический и социальный стандарт 7: Коренные народы/исторически незащищенные традиционные местные общины стран Африки к югу от Сахары"; (viii) "Экологический и социальный стандарт 8: Культурное наследие"; (ix) "Экологический и социальный стандарт 9: Финансовые посредники"; (х) "Экологический и социальный стандарт 10: Взаимодействие с заинтересованными сторонами и раскрытие информации"; вступившие в силу с 1 октября 2018 года, опубликованные Ассоциацией.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 "Общие условия" - означает "Общие условия Международной ассоциации развития для финансирования МАР, финансирования инвестиционных проектов" от 14 декабря 2018 года (в последней редакции от 15 июля 2023 г.) с изменениями, изложенными в разделе II настоящего Приложения.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w:t>
      </w:r>
      <w:r>
        <w:rPr>
          <w:rFonts w:ascii="Arial" w:cs="Arial" w:eastAsia="Arial" w:hAnsi="Arial"/>
          <w:sz w:val="24"/>
          <w:szCs w:val="24"/>
        </w:rPr>
        <w:t xml:space="preserve"> "Грант" - означает грант, который будет предоставлен ВУЗу (в натуральной форме и в виде денежных средств) для Подпроекта, отобранного в соответствии с критериями отбора и критериями приемлемости, а также процедурами, изложенными в Руководстве по грантам АИФ, в рамках Части 2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w:t>
      </w:r>
      <w:r>
        <w:rPr>
          <w:rFonts w:ascii="Arial" w:cs="Arial" w:eastAsia="Arial" w:hAnsi="Arial"/>
          <w:sz w:val="24"/>
          <w:szCs w:val="24"/>
        </w:rPr>
        <w:t xml:space="preserve"> "Соглашение о гранте" - означает соглашение, которое должно быть заключено между Получателем, через МОН, и ВУЗом для получения гранта в рамках Части 2 Проекта, устанавливающее условия предоставления такого гранта, как описано в разделе I.C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w:t>
      </w:r>
      <w:r>
        <w:rPr>
          <w:rFonts w:ascii="Arial" w:cs="Arial" w:eastAsia="Arial" w:hAnsi="Arial"/>
          <w:sz w:val="24"/>
          <w:szCs w:val="24"/>
        </w:rPr>
        <w:t xml:space="preserve"> "Соглашения с ВУЗами" - означает соглашение между Получателем и ВУЗом, отобранным по Части 1 Проекта, ссылка на которое содержится в Части I.B Приложения II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w:t>
      </w:r>
      <w:r>
        <w:rPr>
          <w:rFonts w:ascii="Arial" w:cs="Arial" w:eastAsia="Arial" w:hAnsi="Arial"/>
          <w:sz w:val="24"/>
          <w:szCs w:val="24"/>
        </w:rPr>
        <w:t xml:space="preserve"> "ВУЗ" - означает государственное или частное высшее учебное заведение.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 "Операционные расходы ВУЗа" - означает дополнительные операционные расходы выбранного ВУЗа, связанные с реализацией Подпроекта или Части 1 Проекта, обоснованные расходы на участие в научных конференциях и семинарах, оплату публикаций, стоимости подписки на научные ресурсы, на мелкий ремонт офисов, поддержку информационных систем, расходы на перевод, банковские сборы, командировочные и суточные расходы и другие обоснованные расходы, непосредственно связанные с реализацией Подпроекта или Части 1 Проекта, по мере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 "МОН" - означает Министерство образования и науки Получателя, или его правопреемника, приемлемого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w:t>
      </w:r>
      <w:r>
        <w:rPr>
          <w:rFonts w:ascii="Arial" w:cs="Arial" w:eastAsia="Arial" w:hAnsi="Arial"/>
          <w:sz w:val="24"/>
          <w:szCs w:val="24"/>
        </w:rPr>
        <w:t xml:space="preserve"> "Операционные расходы" - означают дополнительные операционные расходы, понесенные МОН (включая ОКП и секретариат и техническую группу АИФ) в связи с реализацией, управлением, мониторингом и оценкой Проекта, включая заработную плату сотрудников, работающих по контракту (но исключая услуги консультантов и заработную плату чиновников государственной службы Получателя) и связанные с этим социальные отчисления, аренду офисов, мелкий ремонт офисов, офисные материалы и принадлежности, коммунальные услуги, расходы на связь, транспорт и обслуживание транспортных средств, поддержку информационных систем, расходы на перевод, банковские сборы, командировочные и суточные расходы и другие разумные расходы, непосредственно связанные с реализацией деятельности по Проекту, все на основе годового бюджета, приемлемого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w:t>
      </w:r>
      <w:r>
        <w:rPr>
          <w:rFonts w:ascii="Arial" w:cs="Arial" w:eastAsia="Arial" w:hAnsi="Arial"/>
          <w:sz w:val="24"/>
          <w:szCs w:val="24"/>
        </w:rPr>
        <w:t xml:space="preserve"> "Положение о закупках" - означает, для целей пункта 85 Приложения к Общим условиям, "Положение Всемирного банка о закупках для заемщиков ФИП" от сентября 2023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 "Отдел координации проекта" и аббревиатура "ОКП" - означают отдел координации проекта при МОН, указанный в Разделе I.A.1(b)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 "Руководства по проекту" - означают ОРП и Руководство по грантам АИФ.</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w:t>
      </w:r>
      <w:r>
        <w:rPr>
          <w:rFonts w:ascii="Arial" w:cs="Arial" w:eastAsia="Arial" w:hAnsi="Arial"/>
          <w:sz w:val="24"/>
          <w:szCs w:val="24"/>
        </w:rPr>
        <w:t xml:space="preserve"> "ОРП" - означает Операционное руководство по проекту, упомянутое в Разделе I.D.1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"Совет по исследованиям и инновациям" - означает совет при МОН, указанный в разделе 1.А.2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 "Дата подписания" - означает более позднюю из двух дат, в которые Получатель и Ассоциация подписали настоящее Соглашение, и такое определение применяется ко всем ссылкам на "Дату Соглашения о финансировании" в Общих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w:t>
      </w:r>
      <w:r>
        <w:rPr>
          <w:rFonts w:ascii="Arial" w:cs="Arial" w:eastAsia="Arial" w:hAnsi="Arial"/>
          <w:sz w:val="24"/>
          <w:szCs w:val="24"/>
        </w:rPr>
        <w:t xml:space="preserve"> "Социальные выплаты" - означают любые отчисления, платежи или взносы на медицинское страхование, страхование на случай нетрудоспособности, на компенсационные выплаты работникам, пенсионные выплаты (пенсий или социального обеспечения) и на страхование жизни, которые представляют собой платежи в счет будущих выплат соответствующим работникам.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w:t>
      </w:r>
      <w:r>
        <w:rPr>
          <w:rFonts w:ascii="Arial" w:cs="Arial" w:eastAsia="Arial" w:hAnsi="Arial"/>
          <w:sz w:val="24"/>
          <w:szCs w:val="24"/>
        </w:rPr>
        <w:t xml:space="preserve"> "Подпроект" - означает проект, отобранный в соответствии с критериями отбора и критериями приемлемости, и процедурами, изложенными в Руководстве по грантам АИФ, который будет осуществляться ВУЗом в рамках Части 2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 "Обучение" - означает расходы (кроме расходов на консультационные услуги), понесенные в связи с учебными поездками, учебными курсами, семинарами, практикумами и другими учебными мероприятиями, не включенными в контракты с поставщиками товаров или услуг, включая расходы на учебные материалы, аренду помещений и оборудования, проезд, суточные для обучающихся и инструкторов и оплату услуг инструкторов (в применимых случаях), все на основе годового бюджета, удовлетворительного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II. Изменения в Общих условиях</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в Общие условия вносятся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Раздел 3.03 (Плата за обслуживание) и Раздел 3.04 (Выплата процентов) исключены полностью, а оставшиеся разделы Статьи III перенумерованы соответствующим образом, и все ссылки на разделы Статьи III в любом положении Общих условий относятся к таким перенумерованным разделам.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Пункт 66 (Выплата процентов) в Приложении изменен следующим образом:</w:t>
      </w:r>
    </w:p>
    <w:p>
      <w:pPr>
        <w:spacing w:after="120"/>
        <w:ind w:firstLine="397"/>
        <w:jc w:val="both"/>
      </w:pPr>
      <w:r>
        <w:rPr>
          <w:rFonts w:ascii="Arial" w:cs="Arial" w:eastAsia="Arial" w:hAnsi="Arial"/>
          <w:sz w:val="24"/>
          <w:szCs w:val="24"/>
        </w:rPr>
        <w:t xml:space="preserve">"66. "Выплата процентов" - означает процентную надбавку для целей Раздела 3.07."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Пункт 100 (Плата за обслуживание) в Приложении исключается полностью, последующие пункты перенумеровываются соответствующим образом, а любая ссылка на "Плату за обслуживание" или "Платы за обслуживание" в любом положении Общих условий исключается.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iob8jkyxfcj3m6gvfrc">
      <w:r>
        <w:rPr>
          <w:rFonts w:ascii="Arial" w:cs="Arial" w:eastAsia="Arial" w:hAnsi="Arial"/>
          <w:color w:val="132D3F"/>
          <w:sz w:val="16"/>
          <w:szCs w:val="16"/>
          <w:u w:val="single"/>
        </w:rPr>
        <w:t xml:space="preserve">dalil.kg/document/230002024</w:t>
      </w:r>
    </w:hyperlink>
  </w:p>
  <w:p>
    <w:pPr>
      <w:spacing w:after="0" w:before="40"/>
      <w:jc w:val="center"/>
    </w:pPr>
    <w:hyperlink w:history="1" r:id="rIdpqig4hyuglrksrfxevb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x-t7foamtpjf_cnomwl" Type="http://schemas.openxmlformats.org/officeDocument/2006/relationships/hyperlink" Target="https://dalil.kg/document/205286" TargetMode="External"/><Relationship Id="rIdzbgfqama4qwfxdpd9waw8" Type="http://schemas.openxmlformats.org/officeDocument/2006/relationships/hyperlink" Target="https://dalil.kg/document/112301#st_13" TargetMode="External"/><Relationship Id="rId0sc65oraie5yxiaqajixa" Type="http://schemas.openxmlformats.org/officeDocument/2006/relationships/hyperlink" Target="https://dalil.kg/document/112301#st_17" TargetMode="External"/><Relationship Id="rIdbaebehi6swj0mfhxz6niu" Type="http://schemas.openxmlformats.org/officeDocument/2006/relationships/hyperlink" Target="https://dalil.kg/document/230002024#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iob8jkyxfcj3m6gvfrc" Type="http://schemas.openxmlformats.org/officeDocument/2006/relationships/hyperlink" Target="https://dalil.kg/document/230002024" TargetMode="External"/><Relationship Id="rIdpqig4hyuglrksrfxevb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2026-09-28T01:48:54.950Z</dcterms:created>
  <dcterms:modified xsi:type="dcterms:W3CDTF">2026-09-28T01:48:54.950Z</dcterms:modified>
</cp:coreProperties>
</file>

<file path=docProps/custom.xml><?xml version="1.0" encoding="utf-8"?>
<Properties xmlns="http://schemas.openxmlformats.org/officeDocument/2006/custom-properties" xmlns:vt="http://schemas.openxmlformats.org/officeDocument/2006/docPropsVTypes"/>
</file>