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2024-П-12/8-4-(НПА)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Порядке идентификации и верификации клиентов в удаленном режиме"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axo5ivuz3cmbjajbz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d4pyfmlrsczyp0xr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krjoqo2dbclah5h5n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идентификации и верификации клиентов в удаленном режиме" от 13 мая 2020 года № 2020-П-12/27-1-(НПА) (</w:t>
      </w:r>
      <w:hyperlink w:history="1" r:id="rIdghwbph6pt2lmvhg4pz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довести настоящее постановление до сведения коммерческих банков и ОЮЛ "Союз банков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банковского надзора, управления платежных систем, юридического управления,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методологии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М.Жакыпов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февраля 2024 года № 2024-П-12/8-4-(НПА)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
 в постановление Правления Национального банка Кыргызской Республики "О Порядке идентификации и верификации клиентов в удаленном режиме"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идентификации и верификации клиентов в удаленном режиме" от 13 мая 2020 года № 2020-П-12/27-1-(НПА)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идентификации и верификации клиентов в удаленном режиме,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При использовании программного обеспечения для удаленной идентификации и верификации клиентов банк должен направить соответствующее уведомление с полным описанием программного обеспечения и методами удаленной идентификации и верификации клиентов, согласно требованиям Порядка, а также утвержденный советом директоров внутренний документ по анализу рисков ФТД/ЛПД согласно законодательству Кыргызской Республики в адрес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4-1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4-1</w:t>
      </w:r>
      <w:r>
        <w:rPr>
          <w:rFonts w:ascii="Arial" w:cs="Arial" w:eastAsia="Arial" w:hAnsi="Arial"/>
          <w:sz w:val="24"/>
          <w:szCs w:val="24"/>
        </w:rPr>
        <w:t xml:space="preserve">. Идентификация и верификация в удаленном режиме
 клиентов - индивидуальных предпринимателей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Идентификация и верификация в удаленном режиме клиентов - граждан Кыргызской Республики, занимающихся предпринимательской деятельностью в качестве индивидуального предпринимателя, посредством государственных информационных систем приравнивается к идентификации и верификации по видеосвязи.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34-2. Максимальный баланс для идентифицированных и верифицированных в удаленном режиме клиентов - граждан Кыргызской Республики, занимающихся предпринимательской деятельностью в качестве индивидуального предпринимателя, должен соответствовать требованиям таблицы 6-1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Порядку идентификации и верификации клиента в удаленном режиме дополнить таблицей 6-1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"Таблица 6-1. Ограничения по клиентам - индивидуальным предпринимателям на максимальный баланс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2"/>
        <w:gridCol w:w="2848"/>
        <w:gridCol w:w="5119"/>
      </w:tblGrid>
      <w:tr>
        <w:tc>
          <w:tcPr>
            <w:tcW w:type="dxa" w:w="2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электронного кошелька</w:t>
            </w:r>
          </w:p>
        </w:tc>
        <w:tc>
          <w:tcPr>
            <w:tcW w:type="dxa" w:w="5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ограниченного функционального банковского счета</w:t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баланс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расчетных показателей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расчетных показателей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eoc-fjdq6hygsb3un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dalil.kg/document/230002482</w:t>
      </w:r>
    </w:hyperlink>
  </w:p>
  <w:p>
    <w:pPr>
      <w:spacing w:after="0" w:before="40"/>
      <w:jc w:val="center"/>
    </w:pPr>
    <w:hyperlink w:history="1" r:id="rIdd37nbgyk7-62xotxpm2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xo5ivuz3cmbjajbzvih" Type="http://schemas.openxmlformats.org/officeDocument/2006/relationships/hyperlink" Target="https://dalil.kg/document/112424#st_5" TargetMode="External"/><Relationship Id="rIdu1d4pyfmlrsczyp0xrsff" Type="http://schemas.openxmlformats.org/officeDocument/2006/relationships/hyperlink" Target="https://dalil.kg/document/112424#st_9" TargetMode="External"/><Relationship Id="rIdekrjoqo2dbclah5h5nuhq" Type="http://schemas.openxmlformats.org/officeDocument/2006/relationships/hyperlink" Target="https://dalil.kg/document/112424#st_64" TargetMode="External"/><Relationship Id="rIdghwbph6pt2lmvhg4pzauu" Type="http://schemas.openxmlformats.org/officeDocument/2006/relationships/hyperlink" Target="https://dalil.kg/document/23000248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eoc-fjdq6hygsb3unjo" Type="http://schemas.openxmlformats.org/officeDocument/2006/relationships/hyperlink" Target="https://dalil.kg/document/230002482" TargetMode="External"/><Relationship Id="rIdd37nbgyk7-62xotxpm2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2026-09-28T01:49:18.977Z</dcterms:created>
  <dcterms:modified xsi:type="dcterms:W3CDTF">2026-09-28T01:49:18.977Z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