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sz w:val="24"/>
          <w:szCs w:val="24"/>
        </w:rPr>
        <w:t xml:space="preserve">Приложение 1</w:t>
      </w:r>
    </w:p>
    <w:p>
      <w:pPr>
        <w:spacing w:after="60"/>
        <w:jc w:val="right"/>
      </w:pPr>
      <w:r>
        <w:rPr>
          <w:rFonts w:ascii="Arial" w:cs="Arial" w:eastAsia="Arial" w:hAnsi="Arial"/>
          <w:sz w:val="24"/>
          <w:szCs w:val="24"/>
        </w:rPr>
        <w:t xml:space="preserve">(к </w:t>
      </w:r>
      <w:hyperlink w:history="1" r:id="rIdmty9ls_txjrf36py7fzs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Кабинета Министров </w:t>
      </w:r>
    </w:p>
    <w:p>
      <w:pPr>
        <w:spacing w:after="60"/>
        <w:jc w:val="right"/>
      </w:pPr>
      <w:r>
        <w:rPr>
          <w:rFonts w:ascii="Arial" w:cs="Arial" w:eastAsia="Arial" w:hAnsi="Arial"/>
          <w:sz w:val="24"/>
          <w:szCs w:val="24"/>
        </w:rPr>
        <w:t xml:space="preserve">Кыргызской Республики
 от 22 февраля 2024 года № 80)</w:t>
      </w:r>
    </w:p>
    <w:p>
      <w:pPr>
        <w:spacing w:after="400" w:before="400"/>
        <w:jc w:val="center"/>
      </w:pPr>
      <w:r>
        <w:rPr>
          <w:rFonts w:ascii="Arial" w:cs="Arial" w:eastAsia="Arial" w:hAnsi="Arial"/>
          <w:b/>
          <w:bCs/>
          <w:sz w:val="32"/>
          <w:szCs w:val="32"/>
        </w:rPr>
        <w:t xml:space="preserve">ПРОГРАММА
 развития местного самоуправления Кыргызской Республики на 2024-2028 годы</w:t>
      </w:r>
    </w:p>
    <w:p>
      <w:pPr>
        <w:spacing w:after="200" w:before="200"/>
        <w:jc w:val="center"/>
      </w:pPr>
      <w:r>
        <w:rPr>
          <w:rFonts w:ascii="Arial" w:cs="Arial" w:eastAsia="Arial" w:hAnsi="Arial"/>
          <w:b/>
          <w:bCs/>
          <w:sz w:val="32"/>
          <w:szCs w:val="32"/>
        </w:rPr>
        <w:t xml:space="preserve">Введение</w:t>
      </w:r>
    </w:p>
    <w:p>
      <w:pPr>
        <w:spacing w:after="60"/>
        <w:ind w:firstLine="567"/>
        <w:jc w:val="both"/>
      </w:pPr>
      <w:r>
        <w:rPr>
          <w:rFonts w:ascii="Arial" w:cs="Arial" w:eastAsia="Arial" w:hAnsi="Arial"/>
          <w:sz w:val="24"/>
          <w:szCs w:val="24"/>
        </w:rPr>
        <w:t xml:space="preserve">Программа развития местного самоуправления Кыргызской Республики на 2024-2028 годы (далее - Программа) разработана в рамках реализации основных направлений </w:t>
      </w:r>
      <w:hyperlink w:history="1" r:id="rIdk56r-45reafpporirbmha">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289odqs3hxrhbpszqomk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программе развития Кыргызской Республики до 2026 года" от 12 октября 2021 года № 435 (далее - Национальная программа).</w:t>
      </w:r>
    </w:p>
    <w:p>
      <w:pPr>
        <w:spacing w:after="60"/>
        <w:ind w:firstLine="567"/>
        <w:jc w:val="both"/>
      </w:pPr>
      <w:r>
        <w:rPr>
          <w:rFonts w:ascii="Arial" w:cs="Arial" w:eastAsia="Arial" w:hAnsi="Arial"/>
          <w:sz w:val="24"/>
          <w:szCs w:val="24"/>
        </w:rPr>
        <w:t xml:space="preserve">Программа разработана с учетом опыта реализации предыдущей программы развития местного самоуправления, определяет цели, задачи и основные направления развития местного самоуправления.</w:t>
      </w:r>
    </w:p>
    <w:p>
      <w:pPr>
        <w:spacing w:after="200" w:before="200"/>
        <w:jc w:val="center"/>
      </w:pPr>
      <w:r>
        <w:rPr>
          <w:rFonts w:ascii="Arial" w:cs="Arial" w:eastAsia="Arial" w:hAnsi="Arial"/>
          <w:b/>
          <w:bCs/>
          <w:sz w:val="32"/>
          <w:szCs w:val="32"/>
        </w:rPr>
        <w:t xml:space="preserve">Глава 1. Текущая ситуация и достижения в развитии местного самоуправления в Кыргызской Республике</w:t>
      </w:r>
    </w:p>
    <w:p>
      <w:pPr>
        <w:spacing w:after="60"/>
        <w:ind w:firstLine="567"/>
        <w:jc w:val="both"/>
      </w:pPr>
      <w:r>
        <w:rPr>
          <w:rFonts w:ascii="Arial" w:cs="Arial" w:eastAsia="Arial" w:hAnsi="Arial"/>
          <w:sz w:val="24"/>
          <w:szCs w:val="24"/>
        </w:rPr>
        <w:t xml:space="preserve">Местное самоуправление является первичным и важным звеном публичной власти, формой участия граждан в управлении государством. Конституционные принципы новой системы государственного управления стали основой политических, административных и иных преобразований в рамках реализации Национальной программы. Согласно Национальной программе новая модель административно-территориального устройства Кыргызской Республики должна включать две составляющие: (1) обновленную систему государственного управления, которая позволит выстроить эффективную вертикаль власти, и (2) новое административно-территориальное деление, которое позволит реализовать реформу системы управления, при этом управленческая реформа является главной задачей по отношению к новым границам административных образований.</w:t>
      </w:r>
    </w:p>
    <w:p>
      <w:pPr>
        <w:spacing w:after="60"/>
        <w:ind w:firstLine="567"/>
        <w:jc w:val="both"/>
      </w:pPr>
      <w:r>
        <w:rPr>
          <w:rFonts w:ascii="Arial" w:cs="Arial" w:eastAsia="Arial" w:hAnsi="Arial"/>
          <w:sz w:val="24"/>
          <w:szCs w:val="24"/>
        </w:rPr>
        <w:t xml:space="preserve">Местное самоуправление в системе государственного устройства признано самостоятельной формой осуществления народом своей власти, управленческим институтом, в основе которого лежит принцип разграничения функций и полномочий государственных органов и органов местного самоуправления, осуществляющих государственное управление на соответствующей территории в пределах полномочий, установленных Конституцией и законами Кыргызской Республики.</w:t>
      </w:r>
    </w:p>
    <w:p>
      <w:pPr>
        <w:spacing w:after="60"/>
        <w:ind w:firstLine="567"/>
        <w:jc w:val="both"/>
      </w:pPr>
      <w:r>
        <w:rPr>
          <w:rFonts w:ascii="Arial" w:cs="Arial" w:eastAsia="Arial" w:hAnsi="Arial"/>
          <w:sz w:val="24"/>
          <w:szCs w:val="24"/>
        </w:rPr>
        <w:t xml:space="preserve">В стране накоплена собственная практика функционирования местного самоуправления и выполнения органами местного самоуправления функций органа власти на местах. Органы местного самоуправления владеют, пользуются и распоряжаются муниципальной собственностью, функционирует двухуровневая система финансирования. Местными сообществами приняты уставы, определяющие правила коллективной жизнедеятельности. В местное самоуправление внедряются новые технологии, действует положение об автоматизированной информационной системе "Санарип аймак". Интересы органов местного самоуправления представляет объединение юридических лиц "Союз местных самоуправлений Кыргызской Республики".</w:t>
      </w:r>
    </w:p>
    <w:p>
      <w:pPr>
        <w:spacing w:after="60"/>
        <w:ind w:firstLine="567"/>
        <w:jc w:val="both"/>
      </w:pPr>
      <w:r>
        <w:rPr>
          <w:rFonts w:ascii="Arial" w:cs="Arial" w:eastAsia="Arial" w:hAnsi="Arial"/>
          <w:sz w:val="24"/>
          <w:szCs w:val="24"/>
        </w:rPr>
        <w:t xml:space="preserve">Законодательно изменился порядок формирования исполнительных органов местного самоуправления: глав айыл окмоту и мэров городов назначают Президент Кыргызской Республики и главы местных администраций.</w:t>
      </w:r>
    </w:p>
    <w:p>
      <w:pPr>
        <w:spacing w:after="60"/>
        <w:ind w:firstLine="567"/>
        <w:jc w:val="both"/>
      </w:pPr>
      <w:r>
        <w:rPr>
          <w:rFonts w:ascii="Arial" w:cs="Arial" w:eastAsia="Arial" w:hAnsi="Arial"/>
          <w:sz w:val="24"/>
          <w:szCs w:val="24"/>
        </w:rPr>
        <w:t xml:space="preserve">Система муниципальных услуг устроена по аналогии с системой государственных услуг. Базовый реестр муниципальных услуг, предоставляемых органами местного самоуправления, содержит 11 наименований услуг, вытекающих из административных полномочий. При этом многие важные муниципальные услуги, включая услуги жизнеобеспечения территорий, социально-культурные и другие фактически предоставляемые гражданам услуги не входят в реестр и регулируются иными отраслевыми законами.</w:t>
      </w:r>
    </w:p>
    <w:p>
      <w:pPr>
        <w:spacing w:after="60"/>
        <w:ind w:firstLine="567"/>
        <w:jc w:val="both"/>
      </w:pPr>
      <w:r>
        <w:rPr>
          <w:rFonts w:ascii="Arial" w:cs="Arial" w:eastAsia="Arial" w:hAnsi="Arial"/>
          <w:sz w:val="24"/>
          <w:szCs w:val="24"/>
        </w:rPr>
        <w:t xml:space="preserve">Отмечается незначительный прогресс по вопросу делегирования органам местного самоуправления отдельных государственных полномочий на основе договора о передаче государственных полномочий. Институт делегирования государственных полномочий не заработал в полной мере, требования законодательства в данной сфере не исполняются надлежащим образом.</w:t>
      </w:r>
    </w:p>
    <w:p>
      <w:pPr>
        <w:spacing w:after="60"/>
        <w:ind w:firstLine="567"/>
        <w:jc w:val="both"/>
      </w:pPr>
      <w:r>
        <w:rPr>
          <w:rFonts w:ascii="Arial" w:cs="Arial" w:eastAsia="Arial" w:hAnsi="Arial"/>
          <w:sz w:val="24"/>
          <w:szCs w:val="24"/>
        </w:rPr>
        <w:t xml:space="preserve">В сфере профессионального развития муниципальных служащих, занимающих административные должности, имеется соответствующая нормативная правовая база. Решены вопросы финансирования такого обучения. Ежегодно реализуется государственный заказ, финансируемый из республиканского бюджета. Положение о порядке обучения государственных гражданских служащих и муниципальных служащих Кыргызской Республики, утвержденное постановлением Кабинета Министров Кыргызской Республики от 18 апреля 2023 года № 209, распространяется также на лиц, занимающих политические муниципальные должности.</w:t>
      </w:r>
    </w:p>
    <w:p>
      <w:pPr>
        <w:spacing w:after="60"/>
        <w:ind w:firstLine="567"/>
        <w:jc w:val="both"/>
      </w:pPr>
      <w:r>
        <w:rPr>
          <w:rFonts w:ascii="Arial" w:cs="Arial" w:eastAsia="Arial" w:hAnsi="Arial"/>
          <w:sz w:val="24"/>
          <w:szCs w:val="24"/>
        </w:rPr>
        <w:t xml:space="preserve">Принимаются отдельные меры по цифровизации процесса управления муниципальными объектами недвижимости. Разработан ряд нормативных правовых актов, обеспечивающих правовые возможности осуществления торгов в электронном формате (электронная торговая площадка). В рамках цифровизации разрабатывается модуль "Единый реестр учета объектов муниципального имущества" (далее - "ЕРМИ"), а также модуль "Выдача земель под индивидуальное жилищное строительство" (далее - "ИЖС") в АИС "Санарип аймак".</w:t>
      </w:r>
    </w:p>
    <w:p>
      <w:pPr>
        <w:spacing w:after="60"/>
        <w:ind w:firstLine="567"/>
        <w:jc w:val="both"/>
      </w:pPr>
      <w:r>
        <w:rPr>
          <w:rFonts w:ascii="Arial" w:cs="Arial" w:eastAsia="Arial" w:hAnsi="Arial"/>
          <w:sz w:val="24"/>
          <w:szCs w:val="24"/>
        </w:rPr>
        <w:t xml:space="preserve">Основу доходного потенциала местных бюджетов составляют отчисления от подоходного налога; налогов, взимаемых в рамках специальных налоговых режимов (патент, единый налог, упрощенная система налогообложения); налогов и сборов за пользование недрами (в среднем около 60%) [Оценка по данным Национального статистического комитета Кыргызской Республики]. Оставшиеся 40% доходного потенциала составляют имущественные налоги, неналоговые доходы и официальные трансферты. Местные сообщества в ограниченной степени влияют на возможности поступления доходов из налоговых и неналоговых источников. В настоящее время делегированием отдельных государственных полномочий, касающихся администрирования сбора местных налогов, охвачено 60% органов местного самоуправления. Вместе с тем делегирование указанных полномочий осуществлено без должного соблюдения законодательных требований о материальном, финансовом и ином обеспечении исполнения переданных полномочий.</w:t>
      </w:r>
    </w:p>
    <w:p>
      <w:pPr>
        <w:spacing w:after="60"/>
        <w:ind w:firstLine="567"/>
        <w:jc w:val="both"/>
      </w:pPr>
      <w:r>
        <w:rPr>
          <w:rFonts w:ascii="Arial" w:cs="Arial" w:eastAsia="Arial" w:hAnsi="Arial"/>
          <w:sz w:val="24"/>
          <w:szCs w:val="24"/>
        </w:rPr>
        <w:t xml:space="preserve">С целью создания условий для решения вопросов местного значения за счет объединения политических, организационных, материальных и иных ресурсов внедрен механизм финансирования межмуниципального сотрудничества в виде целевых трансфертов и бюджетных ссуд, передаваемых из одного местного бюджета в другой местный бюджет. Это позволяет муниципалитетам эффективнее решать вопросы организации услуг жизнеобеспечения, увеличивать объем предоставляемых услуг при снижении затрат.</w:t>
      </w:r>
    </w:p>
    <w:p>
      <w:pPr>
        <w:spacing w:after="60"/>
        <w:ind w:firstLine="567"/>
        <w:jc w:val="both"/>
      </w:pPr>
      <w:r>
        <w:rPr>
          <w:rFonts w:ascii="Arial" w:cs="Arial" w:eastAsia="Arial" w:hAnsi="Arial"/>
          <w:sz w:val="24"/>
          <w:szCs w:val="24"/>
        </w:rPr>
        <w:t xml:space="preserve">Ведется работа по реализации государственной программы комплексного социально-экономического развития регионов, основанной на прогрессивных принципах специализации районов и формирования крупных опорных центров развития с применением современных методов территориально-пространственного планирования и новых механизмов стимулирования инвестиционной активности.</w:t>
      </w:r>
    </w:p>
    <w:p>
      <w:pPr>
        <w:spacing w:after="200" w:before="200"/>
        <w:jc w:val="center"/>
      </w:pPr>
      <w:r>
        <w:rPr>
          <w:rFonts w:ascii="Arial" w:cs="Arial" w:eastAsia="Arial" w:hAnsi="Arial"/>
          <w:b/>
          <w:bCs/>
          <w:sz w:val="32"/>
          <w:szCs w:val="32"/>
        </w:rPr>
        <w:t xml:space="preserve">Глава 2. Основные проблемы в развитии местного самоуправления в Кыргызской Республике</w:t>
      </w:r>
    </w:p>
    <w:p>
      <w:pPr>
        <w:spacing w:after="200" w:before="200"/>
        <w:jc w:val="center"/>
      </w:pPr>
      <w:r>
        <w:rPr>
          <w:rFonts w:ascii="Arial" w:cs="Arial" w:eastAsia="Arial" w:hAnsi="Arial"/>
          <w:b/>
          <w:bCs/>
          <w:sz w:val="32"/>
          <w:szCs w:val="32"/>
        </w:rPr>
        <w:t xml:space="preserve">§ 1. Проблемы в сфере участия местного сообщества в местном самоуправлении</w:t>
      </w:r>
    </w:p>
    <w:p>
      <w:pPr>
        <w:spacing w:after="60"/>
        <w:ind w:firstLine="567"/>
        <w:jc w:val="both"/>
      </w:pPr>
      <w:r>
        <w:rPr>
          <w:rFonts w:ascii="Arial" w:cs="Arial" w:eastAsia="Arial" w:hAnsi="Arial"/>
          <w:sz w:val="24"/>
          <w:szCs w:val="24"/>
        </w:rPr>
        <w:t xml:space="preserve">К кандидатам в депутаты местных кенешей предъявляются недостаточно высокие квалификационные требования, в том числе в отношении уровня образования, знания законодательства о государственном устройстве. Государственная система повышения квалификации и обучения депутатов местных кенешей, в целом политических должностных лиц нуждается в системном обновлении и поддержке.</w:t>
      </w:r>
    </w:p>
    <w:p>
      <w:pPr>
        <w:spacing w:after="60"/>
        <w:ind w:firstLine="567"/>
        <w:jc w:val="both"/>
      </w:pPr>
      <w:r>
        <w:rPr>
          <w:rFonts w:ascii="Arial" w:cs="Arial" w:eastAsia="Arial" w:hAnsi="Arial"/>
          <w:sz w:val="24"/>
          <w:szCs w:val="24"/>
        </w:rPr>
        <w:t xml:space="preserve">Слабо развиты формы поддержки финансирования инициатив местных сообществ из бюджетных источников. Органы местного самоуправления имеют правовую возможность осуществлять финансирование местной инициативы, но ограничены в отношении наличия финансовых средств. Это требует разработки новых механизмов финансирования инициатив местных сообществ из бюджетных источников, в том числе государственного бюджета.</w:t>
      </w:r>
    </w:p>
    <w:p>
      <w:pPr>
        <w:spacing w:after="200" w:before="200"/>
        <w:jc w:val="center"/>
      </w:pPr>
      <w:r>
        <w:rPr>
          <w:rFonts w:ascii="Arial" w:cs="Arial" w:eastAsia="Arial" w:hAnsi="Arial"/>
          <w:b/>
          <w:bCs/>
          <w:sz w:val="32"/>
          <w:szCs w:val="32"/>
        </w:rPr>
        <w:t xml:space="preserve">§ 2. Проблемы в сфере повышения эффективности и подотчетности деятельности органов местного самоуправления местному сообществу</w:t>
      </w:r>
    </w:p>
    <w:p>
      <w:pPr>
        <w:spacing w:after="60"/>
        <w:ind w:firstLine="567"/>
        <w:jc w:val="both"/>
      </w:pPr>
      <w:r>
        <w:rPr>
          <w:rFonts w:ascii="Arial" w:cs="Arial" w:eastAsia="Arial" w:hAnsi="Arial"/>
          <w:sz w:val="24"/>
          <w:szCs w:val="24"/>
        </w:rPr>
        <w:t xml:space="preserve">Формы открытости и подотчетности органов местного самоуправления применяются преимущественно для выявления мнения населения и не предусматривают обязательств органов местного самоуправления по учету этого мнения. Местные жители часто не имеют доступа к информации о решениях, принимаемых органами местного самоуправления. Слабая информированность членов местного сообщества о ресурсах, возможностях и работе органов местного самоуправления приводит к формированию завышенных ожиданий, что потенциально несет риски социального недовольства населения действиями органов местного самоуправления и власти в целом. За приверженность принципам открытости, прозрачности и подотчетности в отношении органов управления в целом и муниципальных служащих персонально не предусмотрены меры стимулирования, за нарушения этих принципов не предусмотрены меры ответственности. Отсутствуют форматы и процедуры отчетности органов местного самоуправления перед местным сообществом, а имеющаяся практика оценки деятельности органов местного самоуправления со стороны сообщества субъективна, не опирается на ясные критерии и конкретные показатели, что создает потенциальный риск манипулирования общественным мнением. Местный кенеш лишен возможности прямого реагирования на действия или бездействие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Законодательно не описаны содержание, понятие, количественные и качественные параметры вопросов местного значения, что затрудняет решение этих вопросов. Структура и Программа социально-экономического развития территорий и местных бюджетов не совпадают с функциями органов местного самоуправления, в бюджетной классификации не предусматриваются соответствующие статьи расходов. Типовой устав местного сообщества частично дублирует положения законодательства и не раскрывает порядка установления и решения вопросов местного значения. В результате продолжается включение в обязанности органов местного самоуправления вопросов, не отнесенных ни к вопросам местного значения, ни к делегированным государственным полномочиям; а некоторые вопросы местного значения, уже включенные в законодательство, не свойственны местному самоуправлению; отсутствие разработанных количественных и качественных показателей для каждого вопроса местного значения не позволяет нормировать, стандартизировать и проводить оценку конечных результатов решения этих вопросов органами местного самоуправления.</w:t>
      </w:r>
    </w:p>
    <w:p>
      <w:pPr>
        <w:spacing w:after="60"/>
        <w:ind w:firstLine="567"/>
        <w:jc w:val="both"/>
      </w:pPr>
      <w:r>
        <w:rPr>
          <w:rFonts w:ascii="Arial" w:cs="Arial" w:eastAsia="Arial" w:hAnsi="Arial"/>
          <w:sz w:val="24"/>
          <w:szCs w:val="24"/>
        </w:rPr>
        <w:t xml:space="preserve">В законодательстве отсутствуют критерии отнесения публичных функций к функциям органов местного самоуправления, в результате в их компетенцию передаются функции без учета их потенциала и ресурсов, а также оценки в состоянии ли они их эффективно и качественно исполнить. Кроме того, за счет расширения вопросов местного значения органам МСУ передаются несвойственные местному самоуправлению функции, а некоторые функции, традиционно считавшиеся вопросами местного значения, в силу роста своего масштаба выходят за границы воздействия органов местного самоуправления и местных сообществ. Так, вопросы экологической безопасности, утилизации и переработки твердых бытовых отходов должны решаться на другом уровне управления с государственной поддержкой. К таким вопросам можно отнести и вопросы строительства дорог, градостроительства и архитектуры, питьевого водоснабжения, теплоснабжения, ирригации и ряд других вопросов.</w:t>
      </w:r>
    </w:p>
    <w:p>
      <w:pPr>
        <w:spacing w:after="60"/>
        <w:ind w:firstLine="567"/>
        <w:jc w:val="both"/>
      </w:pPr>
      <w:r>
        <w:rPr>
          <w:rFonts w:ascii="Arial" w:cs="Arial" w:eastAsia="Arial" w:hAnsi="Arial"/>
          <w:sz w:val="24"/>
          <w:szCs w:val="24"/>
        </w:rPr>
        <w:t xml:space="preserve">С другой стороны, при передаче местному самоуправлению отдельных государственных полномочий, решение которых более эффективно на местном уровне, наблюдается несоблюдение процедур делегирования:</w:t>
      </w:r>
    </w:p>
    <w:p>
      <w:pPr>
        <w:spacing w:after="60"/>
        <w:ind w:firstLine="567"/>
        <w:jc w:val="both"/>
      </w:pPr>
      <w:r>
        <w:rPr>
          <w:rFonts w:ascii="Arial" w:cs="Arial" w:eastAsia="Arial" w:hAnsi="Arial"/>
          <w:sz w:val="24"/>
          <w:szCs w:val="24"/>
        </w:rPr>
        <w:t xml:space="preserve">- делегирование государственными органами рассматривается как отъем власти (полномочий) и средств в пользу органов местного самоуправления;</w:t>
      </w:r>
    </w:p>
    <w:p>
      <w:pPr>
        <w:spacing w:after="60"/>
        <w:ind w:firstLine="567"/>
        <w:jc w:val="both"/>
      </w:pPr>
      <w:r>
        <w:rPr>
          <w:rFonts w:ascii="Arial" w:cs="Arial" w:eastAsia="Arial" w:hAnsi="Arial"/>
          <w:sz w:val="24"/>
          <w:szCs w:val="24"/>
        </w:rPr>
        <w:t xml:space="preserve">- отсутствует механизм оценки результатов деятельности государственных органов;</w:t>
      </w:r>
    </w:p>
    <w:p>
      <w:pPr>
        <w:spacing w:after="60"/>
        <w:ind w:firstLine="567"/>
        <w:jc w:val="both"/>
      </w:pPr>
      <w:r>
        <w:rPr>
          <w:rFonts w:ascii="Arial" w:cs="Arial" w:eastAsia="Arial" w:hAnsi="Arial"/>
          <w:sz w:val="24"/>
          <w:szCs w:val="24"/>
        </w:rPr>
        <w:t xml:space="preserve">- методика расчета объема трансфертов, предназначенных для финансирования отдельных государственных полномочий, не совершенна, не позволяет государственным органам самостоятельно провести расчеты объема средств, необходимых для передачи органам местного самоуправления для финансирования передаваемых им государственных полномочий;</w:t>
      </w:r>
    </w:p>
    <w:p>
      <w:pPr>
        <w:spacing w:after="60"/>
        <w:ind w:firstLine="567"/>
        <w:jc w:val="both"/>
      </w:pPr>
      <w:r>
        <w:rPr>
          <w:rFonts w:ascii="Arial" w:cs="Arial" w:eastAsia="Arial" w:hAnsi="Arial"/>
          <w:sz w:val="24"/>
          <w:szCs w:val="24"/>
        </w:rPr>
        <w:t xml:space="preserve">- ограничены административные полномочия органов местного самоуправления по определению структуры и штатной численности, найму необходимого штата для выполнения делегированных государственных функций.</w:t>
      </w:r>
    </w:p>
    <w:p>
      <w:pPr>
        <w:spacing w:after="60"/>
        <w:ind w:firstLine="567"/>
        <w:jc w:val="both"/>
      </w:pPr>
      <w:r>
        <w:rPr>
          <w:rFonts w:ascii="Arial" w:cs="Arial" w:eastAsia="Arial" w:hAnsi="Arial"/>
          <w:sz w:val="24"/>
          <w:szCs w:val="24"/>
        </w:rPr>
        <w:t xml:space="preserve">Уровень знаний и квалификация лиц, занимающих политические муниципальные должности (депутаты местных кенешей, мэры городов и главы айыл окмоту), зачастую недостаточны для осуществления ими своих полномочий. Лица, занимающие политические муниципальные должности, должны обладать знаниями о системе государственного управления и местного самоуправления. В настоящее время требований в отношении сроков проведения обучения данных лиц не имеется, обучение проводится без учета срока их полномочий. Малое количество указанных лиц проходят обучение в рамках государственного заказа, но этого недостаточно для того, чтобы они исполняли свои полномочия на должном уровне. В законодательстве отсутствуют нормы, регулирующие вопросы финансирования обучения лиц, занимающих политические муниципальные должности.</w:t>
      </w:r>
    </w:p>
    <w:p>
      <w:pPr>
        <w:spacing w:after="60"/>
        <w:ind w:firstLine="567"/>
        <w:jc w:val="both"/>
      </w:pPr>
      <w:r>
        <w:rPr>
          <w:rFonts w:ascii="Arial" w:cs="Arial" w:eastAsia="Arial" w:hAnsi="Arial"/>
          <w:sz w:val="24"/>
          <w:szCs w:val="24"/>
        </w:rPr>
        <w:t xml:space="preserve">Несмотря на то, что с 2004 года Конституция Кыргызской Республики и законодательство Кыргызской Республики в сфере местного самоуправления были приняты в новой редакции несколько раз, на сегодняшний день сотрудники органов местного самоуправления в своей деятельности применяют </w:t>
      </w:r>
      <w:hyperlink w:history="1" r:id="rIdlcxqrey3ddc1tsougdveu">
        <w:r>
          <w:rPr>
            <w:rFonts w:ascii="Arial" w:cs="Arial" w:eastAsia="Arial" w:hAnsi="Arial"/>
            <w:color w:val="1D4ED8"/>
            <w:sz w:val="24"/>
            <w:szCs w:val="24"/>
            <w:u w:val="single"/>
          </w:rPr>
          <w:t xml:space="preserve">Типовые должностные </w:t>
        </w:r>
      </w:hyperlink>
      <w:r>
        <w:rPr>
          <w:rFonts w:ascii="Arial" w:cs="Arial" w:eastAsia="Arial" w:hAnsi="Arial"/>
          <w:sz w:val="24"/>
          <w:szCs w:val="24"/>
        </w:rPr>
        <w:t xml:space="preserve">инструкции</w:t>
      </w:r>
      <w:r>
        <w:rPr>
          <w:rFonts w:ascii="Arial" w:cs="Arial" w:eastAsia="Arial" w:hAnsi="Arial"/>
          <w:sz w:val="24"/>
          <w:szCs w:val="24"/>
        </w:rPr>
        <w:t xml:space="preserve"> работников органов местного самоуправления аилов и поселков Кыргызской Республики, утвержденные </w:t>
      </w:r>
      <w:hyperlink w:history="1" r:id="rIdxxcpfucnpr99-tt1cpe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skztkhfmsrlqvqkxnetpu">
        <w:r>
          <w:rPr>
            <w:rFonts w:ascii="Arial" w:cs="Arial" w:eastAsia="Arial" w:hAnsi="Arial"/>
            <w:color w:val="1D4ED8"/>
            <w:sz w:val="24"/>
            <w:szCs w:val="24"/>
            <w:u w:val="single"/>
          </w:rPr>
          <w:t xml:space="preserve">Типовых должностных инструкций </w:t>
        </w:r>
      </w:hyperlink>
      <w:r>
        <w:rPr>
          <w:rFonts w:ascii="Arial" w:cs="Arial" w:eastAsia="Arial" w:hAnsi="Arial"/>
          <w:sz w:val="24"/>
          <w:szCs w:val="24"/>
        </w:rPr>
        <w:t xml:space="preserve">работников органов местного самоуправления аилов и поселков Кыргызской Республики" от 23 февраля 2004 года № 91.</w:t>
      </w:r>
    </w:p>
    <w:p>
      <w:pPr>
        <w:spacing w:after="60"/>
        <w:ind w:firstLine="567"/>
        <w:jc w:val="both"/>
      </w:pPr>
      <w:r>
        <w:rPr>
          <w:rFonts w:ascii="Arial" w:cs="Arial" w:eastAsia="Arial" w:hAnsi="Arial"/>
          <w:sz w:val="24"/>
          <w:szCs w:val="24"/>
        </w:rPr>
        <w:t xml:space="preserve">В связи с этим возникает необходимость пересмотра, действующего нормативного правового акта и разработки новых Типовых должностных инструкций сотрудников органов местного самоуправления Кыргызской Республики с учетом проводимой административно-территориальной реформы в пилотных айылных аймаках Нарынской области и Тюпского района.</w:t>
      </w:r>
    </w:p>
    <w:p>
      <w:pPr>
        <w:spacing w:after="60"/>
        <w:ind w:firstLine="567"/>
        <w:jc w:val="both"/>
      </w:pPr>
      <w:r>
        <w:rPr>
          <w:rFonts w:ascii="Arial" w:cs="Arial" w:eastAsia="Arial" w:hAnsi="Arial"/>
          <w:sz w:val="24"/>
          <w:szCs w:val="24"/>
        </w:rPr>
        <w:t xml:space="preserve">Муниципальное имущество, в том числе муниципальные земли и земли, переданные органам местного самоуправления в пользование, содержится и используется нерационально и неэффективно. Не все муниципальное имущество прошло процедуру государственной регистрации, то есть право муниципальной собственности за органами местного самоуправления не закреплено. Муниципальное имущество не в полной мере используется для внедрения современных методов хозяйствования, таких как государственно-частное партнерство, социальный заказ, аутсорсинг отдельных функций и услуг. Основной формой использования муниципального имущества остается предоставление его в аренду. Затраты на содержание муниципального имущества иногда превышают доходы от его использования, не выстроена система планирования и прогнозирования доходов, фактически отсутствуют амортизационные фонды как инструмент обновления основных фондов, в сельском хозяйстве земли подвержены трансформациям из более плодородных в менее востребованные, пастбища постепенно деградируют. Не всеми местными кенешами приняты нормативные правовые акты, регулирующие порядок пользования и распоряжения муниципальной собственностью, утверждены программы приватизации объектов муниципальной собственности, осуществляется соответствующий контроль за использованием муниципальной собственности.</w:t>
      </w:r>
    </w:p>
    <w:p>
      <w:pPr>
        <w:spacing w:after="60"/>
        <w:ind w:firstLine="567"/>
        <w:jc w:val="both"/>
      </w:pPr>
      <w:r>
        <w:rPr>
          <w:rFonts w:ascii="Arial" w:cs="Arial" w:eastAsia="Arial" w:hAnsi="Arial"/>
          <w:sz w:val="24"/>
          <w:szCs w:val="24"/>
        </w:rPr>
        <w:t xml:space="preserve">В бюджетной сфере по итогам 2022 года более 70% айылных аймаков являлись дотационными, хотя в совокупности выравнивающие трансферты покрывают около 30% расходов местных бюджетов. Это свидетельствует о наличии двух взаимосвязанных проблем: дотационности местных бюджетов; наращивания доходного потенциала местных бюджетов. Не в полном объеме органам местного самоуправления предоставлены отдельные государственные полномочия по сбору налога на имущество и налога на основе патента, которые положениями статьи 62 Налогового кодекса Кыргызской Республики предусмотрены для делегирования органам местного самоуправления. Не достигнута основная цель выравнивающих трансфертов - предоставить органам местного самоуправления возможность обеспечить для своих жителей доступ к стандартному объему бюджетных услуг при уровне налоговых усилий не ниже среднего.</w:t>
      </w:r>
    </w:p>
    <w:p>
      <w:pPr>
        <w:spacing w:after="60"/>
        <w:ind w:firstLine="567"/>
        <w:jc w:val="both"/>
      </w:pPr>
      <w:r>
        <w:rPr>
          <w:rFonts w:ascii="Arial" w:cs="Arial" w:eastAsia="Arial" w:hAnsi="Arial"/>
          <w:sz w:val="24"/>
          <w:szCs w:val="24"/>
        </w:rPr>
        <w:t xml:space="preserve">Имеются сложности в практической организации межмуниципального сотрудничества. В законодательстве Кыргызской Республики не определено понятие межмуниципального сотрудничества, не полностью расписаны процедуры их создания финансирования и регулирования их деятельности.</w:t>
      </w:r>
    </w:p>
    <w:p>
      <w:pPr>
        <w:spacing w:after="60"/>
        <w:ind w:firstLine="567"/>
        <w:jc w:val="both"/>
      </w:pPr>
      <w:r>
        <w:rPr>
          <w:rFonts w:ascii="Arial" w:cs="Arial" w:eastAsia="Arial" w:hAnsi="Arial"/>
          <w:sz w:val="24"/>
          <w:szCs w:val="24"/>
        </w:rPr>
        <w:t xml:space="preserve">Административно-территориальное устройство республики требует оптимизации.</w:t>
      </w:r>
    </w:p>
    <w:p>
      <w:pPr>
        <w:spacing w:after="60"/>
        <w:ind w:firstLine="567"/>
        <w:jc w:val="both"/>
      </w:pPr>
      <w:r>
        <w:rPr>
          <w:rFonts w:ascii="Arial" w:cs="Arial" w:eastAsia="Arial" w:hAnsi="Arial"/>
          <w:sz w:val="24"/>
          <w:szCs w:val="24"/>
        </w:rPr>
        <w:t xml:space="preserve">В настоящее время более 100 населенных пунктов республики не отнесены к категории айыла (села), что создает трудности для населения в решении вопросов прописки, оформления документов, а также иных социально-экономических вопросов данного населенного пункта. Отдельным административно-территориальным и территориальным единицам, имеющим неблагозвучное название, требуется переименование.</w:t>
      </w:r>
    </w:p>
    <w:p>
      <w:pPr>
        <w:spacing w:after="200" w:before="200"/>
        <w:jc w:val="center"/>
      </w:pPr>
      <w:r>
        <w:rPr>
          <w:rFonts w:ascii="Arial" w:cs="Arial" w:eastAsia="Arial" w:hAnsi="Arial"/>
          <w:b/>
          <w:bCs/>
          <w:sz w:val="32"/>
          <w:szCs w:val="32"/>
        </w:rPr>
        <w:t xml:space="preserve">§ 3. Проблемы в сфере социально-экономического и пространственного планирования</w:t>
      </w:r>
    </w:p>
    <w:p>
      <w:pPr>
        <w:spacing w:after="60"/>
        <w:ind w:firstLine="567"/>
        <w:jc w:val="both"/>
      </w:pPr>
      <w:r>
        <w:rPr>
          <w:rFonts w:ascii="Arial" w:cs="Arial" w:eastAsia="Arial" w:hAnsi="Arial"/>
          <w:sz w:val="24"/>
          <w:szCs w:val="24"/>
        </w:rPr>
        <w:t xml:space="preserve">Не предпринимаются меры по созданию основанных на данных системы и иерархии планов развития - национального, региональных и местных, которые позволят обеспечить сочетание социально-экономического и пространственного планирования и прогнозирования развития соответствующих территорий. Наличие генеральных планов не означает их автоматического сочетания с экономическими, социальными и экологическими перспективами развития населенного пункта. Не развита практика правового зонирования и стратегического управления земельными ресурсами, не принимаются меры эффективного землепользования в границах населенных пунктов, такие как меры стимулирования вертикальной застройки. Программы социально-экономического развития не затрагивают потребности человека, т.е. не выделяют группы потребностей и группы интересов. Выросли, но не удовлетворяются запросы в отношении улучшения качества жизни и возможностей для развития человека: устройство очистных сооружений и сельской канализации, организация местных культурных, спортивных и социальных услуг для личного развития, содействие в расширении экономических возможностей путем доступа к финансовым, технологическим и информационным ресурсам. Органы местного самоуправления уделяют мало внимания разработке программ социально-экономического развития, поскольку программы на практике никак не связаны с финансированием работы местного самоуправления из бюджетных и внебюджетных источников.</w:t>
      </w:r>
    </w:p>
    <w:p>
      <w:pPr>
        <w:spacing w:after="60"/>
        <w:ind w:firstLine="567"/>
        <w:jc w:val="both"/>
      </w:pPr>
      <w:r>
        <w:rPr>
          <w:rFonts w:ascii="Arial" w:cs="Arial" w:eastAsia="Arial" w:hAnsi="Arial"/>
          <w:sz w:val="24"/>
          <w:szCs w:val="24"/>
        </w:rPr>
        <w:t xml:space="preserve">В органах местного самоуправления установлены и функционируют несколько цифровых систем: "Санарип аймак" (модули: "Социальный паспорт", "ЕРМИ", "ИЖС"), "Е-kyzmat", система электронного документооборота "Infodocs". Эти системы уже сейчас позволяют и требуют существенно повысить качество планирования и ввести в практику элементы прогнозирования на основе данных.</w:t>
      </w:r>
    </w:p>
    <w:p>
      <w:pPr>
        <w:spacing w:after="60"/>
        <w:ind w:firstLine="567"/>
        <w:jc w:val="both"/>
      </w:pPr>
      <w:r>
        <w:rPr>
          <w:rFonts w:ascii="Arial" w:cs="Arial" w:eastAsia="Arial" w:hAnsi="Arial"/>
          <w:sz w:val="24"/>
          <w:szCs w:val="24"/>
        </w:rPr>
        <w:t xml:space="preserve">Устойчивость к последствиям изменения климата и экологическая безопасность требуют новых методов и практик управления. Новые вызовы, ограниченность горизонтов планирования, слабая осведомленность органов местного самоуправления о климатических и экологических рисках не позволяют должным образом реагировать на изменения окружающей среды. Наблюдается разрыв между целевыми задачами стратегических документов национального уровня и их реализацией на уровне местных сообществ. Необходимость активных действий в сфере адаптации к изменению климата, развитие торгового и экономического потенциала территорий также требуют сочетания планирования на уровне местного самоуправления, национальном и региональном уровнях государственного управления.</w:t>
      </w:r>
    </w:p>
    <w:p>
      <w:pPr>
        <w:spacing w:after="200" w:before="200"/>
        <w:jc w:val="center"/>
      </w:pPr>
      <w:r>
        <w:rPr>
          <w:rFonts w:ascii="Arial" w:cs="Arial" w:eastAsia="Arial" w:hAnsi="Arial"/>
          <w:b/>
          <w:bCs/>
          <w:sz w:val="32"/>
          <w:szCs w:val="32"/>
        </w:rPr>
        <w:t xml:space="preserve">Глава 3. Цель Программы</w:t>
      </w:r>
    </w:p>
    <w:p>
      <w:pPr>
        <w:spacing w:after="60"/>
        <w:ind w:firstLine="567"/>
        <w:jc w:val="both"/>
      </w:pPr>
      <w:r>
        <w:rPr>
          <w:rFonts w:ascii="Arial" w:cs="Arial" w:eastAsia="Arial" w:hAnsi="Arial"/>
          <w:sz w:val="24"/>
          <w:szCs w:val="24"/>
        </w:rPr>
        <w:t xml:space="preserve">Цель Программы - усиление роли местных сообществ в решении вопросов местного значения, подотчетности и ответственности органов местного самоуправления перед сообществами для обеспечения комфортных условий проживания граждан в городах и айылных аймаках.</w:t>
      </w:r>
    </w:p>
    <w:p>
      <w:pPr>
        <w:spacing w:after="200" w:before="200"/>
        <w:jc w:val="center"/>
      </w:pPr>
      <w:r>
        <w:rPr>
          <w:rFonts w:ascii="Arial" w:cs="Arial" w:eastAsia="Arial" w:hAnsi="Arial"/>
          <w:b/>
          <w:bCs/>
          <w:sz w:val="32"/>
          <w:szCs w:val="32"/>
        </w:rPr>
        <w:t xml:space="preserve">Глава 4. Приоритетные направления и задачи Программы</w:t>
      </w:r>
    </w:p>
    <w:p>
      <w:pPr>
        <w:spacing w:after="60"/>
        <w:ind w:firstLine="567"/>
        <w:jc w:val="both"/>
      </w:pPr>
      <w:r>
        <w:rPr>
          <w:rFonts w:ascii="Arial" w:cs="Arial" w:eastAsia="Arial" w:hAnsi="Arial"/>
          <w:sz w:val="24"/>
          <w:szCs w:val="24"/>
        </w:rPr>
        <w:t xml:space="preserve">Направление 1. Ответственное местное сообщество - источник эффективного местного самоуправления.</w:t>
      </w:r>
    </w:p>
    <w:p>
      <w:pPr>
        <w:spacing w:after="60"/>
        <w:ind w:firstLine="567"/>
        <w:jc w:val="both"/>
      </w:pPr>
      <w:r>
        <w:rPr>
          <w:rFonts w:ascii="Arial" w:cs="Arial" w:eastAsia="Arial" w:hAnsi="Arial"/>
          <w:sz w:val="24"/>
          <w:szCs w:val="24"/>
        </w:rPr>
        <w:t xml:space="preserve">Направление 2. Эффективные и подотчетные местному сообществу органы местного самоуправления.</w:t>
      </w:r>
    </w:p>
    <w:p>
      <w:pPr>
        <w:spacing w:after="60"/>
        <w:ind w:firstLine="567"/>
        <w:jc w:val="both"/>
      </w:pPr>
      <w:r>
        <w:rPr>
          <w:rFonts w:ascii="Arial" w:cs="Arial" w:eastAsia="Arial" w:hAnsi="Arial"/>
          <w:sz w:val="24"/>
          <w:szCs w:val="24"/>
        </w:rPr>
        <w:t xml:space="preserve">Направление 3. Социально-экономическое и пространственное планирование как фактор управления устойчивым развитием.</w:t>
      </w:r>
    </w:p>
    <w:p>
      <w:pPr>
        <w:spacing w:after="200" w:before="200"/>
        <w:jc w:val="center"/>
      </w:pPr>
      <w:r>
        <w:rPr>
          <w:rFonts w:ascii="Arial" w:cs="Arial" w:eastAsia="Arial" w:hAnsi="Arial"/>
          <w:b/>
          <w:bCs/>
          <w:sz w:val="32"/>
          <w:szCs w:val="32"/>
        </w:rPr>
        <w:t xml:space="preserve">§ 1. Ответственное местное сообщество - источник эффективного местного самоуправления</w:t>
      </w:r>
    </w:p>
    <w:p>
      <w:pPr>
        <w:spacing w:after="60" w:before="200"/>
        <w:ind w:firstLine="567"/>
        <w:jc w:val="both"/>
      </w:pPr>
      <w:r>
        <w:rPr>
          <w:rFonts w:ascii="Arial" w:cs="Arial" w:eastAsia="Arial" w:hAnsi="Arial"/>
          <w:b/>
          <w:bCs/>
          <w:sz w:val="24"/>
          <w:szCs w:val="24"/>
        </w:rPr>
        <w:t xml:space="preserve">Задача 1.1. Развитие механизмов для реализации прав граждан на осуществление местного самоуправления</w:t>
      </w:r>
    </w:p>
    <w:p>
      <w:pPr>
        <w:spacing w:after="60"/>
        <w:ind w:firstLine="567"/>
        <w:jc w:val="both"/>
      </w:pPr>
      <w:r>
        <w:rPr>
          <w:rFonts w:ascii="Arial" w:cs="Arial" w:eastAsia="Arial" w:hAnsi="Arial"/>
          <w:sz w:val="24"/>
          <w:szCs w:val="24"/>
        </w:rPr>
        <w:t xml:space="preserve">Должны быть улучшены правовые и технические условия реализации конституционного права граждан на осуществление местного самоуправления. Для этого задача предусматривает ряд мер, направленных на развитие существующих и внедрение новых форм взаимодействия граждан с органами местного самоуправления. Будет разработан и внедрен в практику работы органов местного самоуправления типовой план вовлечения местного сообщества в решение вопросов местного значения (общественно-коммуникационная стратегия) айылного аймака или города. Для усиления роли местных сообществ в развитии будет разработан механизм финансирования инициатив местных сообществ из государственного бюджета.</w:t>
      </w:r>
    </w:p>
    <w:p>
      <w:pPr>
        <w:spacing w:after="60" w:before="200"/>
        <w:ind w:firstLine="567"/>
        <w:jc w:val="both"/>
      </w:pPr>
      <w:r>
        <w:rPr>
          <w:rFonts w:ascii="Arial" w:cs="Arial" w:eastAsia="Arial" w:hAnsi="Arial"/>
          <w:b/>
          <w:bCs/>
          <w:sz w:val="24"/>
          <w:szCs w:val="24"/>
        </w:rPr>
        <w:t xml:space="preserve">Задача 1.2. Усиление подотчетности и открытости органов местного самоуправления перед местным сообществом</w:t>
      </w:r>
    </w:p>
    <w:p>
      <w:pPr>
        <w:spacing w:after="60"/>
        <w:ind w:firstLine="567"/>
        <w:jc w:val="both"/>
      </w:pPr>
      <w:r>
        <w:rPr>
          <w:rFonts w:ascii="Arial" w:cs="Arial" w:eastAsia="Arial" w:hAnsi="Arial"/>
          <w:sz w:val="24"/>
          <w:szCs w:val="24"/>
        </w:rPr>
        <w:t xml:space="preserve">Повысится ответственность органов местного самоуправления за внедрение механизмов и исполнение процедур подотчетности перед местным сообществом. Процедуры отчетности будут включать критерии и принципы открытости органов местного самоуправления не только в отношении информирования граждан и предоставления им возможности принятия решений, но и в отношении учета мнений и предложений граждан. Особое значение для органов местного самоуправления имеет учет мнений и предложений граждан.</w:t>
      </w:r>
    </w:p>
    <w:p>
      <w:pPr>
        <w:spacing w:after="60"/>
        <w:ind w:firstLine="567"/>
        <w:jc w:val="both"/>
      </w:pPr>
      <w:r>
        <w:rPr>
          <w:rFonts w:ascii="Arial" w:cs="Arial" w:eastAsia="Arial" w:hAnsi="Arial"/>
          <w:sz w:val="24"/>
          <w:szCs w:val="24"/>
        </w:rPr>
        <w:t xml:space="preserve">Для усиления открытости органов местного самоуправления и улучшения доступа граждан к информации о деятельности местного самоуправления будут пересмотрены правовые условия обеспечения граждан доступом к информации, определенные в типовом уставе местного сообщества. Для оценки результативности работы органов местного самоуправления будут внедрены показатели роста активности участия местного сообщества в решении вопросов местного значения, разработаны методические материалы по развитию существующих и внедрению новых форм коммуникаций и участия, включая цифровые.</w:t>
      </w:r>
    </w:p>
    <w:p>
      <w:pPr>
        <w:spacing w:after="60" w:before="200"/>
        <w:ind w:firstLine="567"/>
        <w:jc w:val="both"/>
      </w:pPr>
      <w:r>
        <w:rPr>
          <w:rFonts w:ascii="Arial" w:cs="Arial" w:eastAsia="Arial" w:hAnsi="Arial"/>
          <w:b/>
          <w:bCs/>
          <w:sz w:val="24"/>
          <w:szCs w:val="24"/>
        </w:rPr>
        <w:t xml:space="preserve">Задача 1.3. Совершенствование порядка формирования органов местного самоуправления</w:t>
      </w:r>
    </w:p>
    <w:p>
      <w:pPr>
        <w:spacing w:after="60"/>
        <w:ind w:firstLine="567"/>
        <w:jc w:val="both"/>
      </w:pPr>
      <w:r>
        <w:rPr>
          <w:rFonts w:ascii="Arial" w:cs="Arial" w:eastAsia="Arial" w:hAnsi="Arial"/>
          <w:sz w:val="24"/>
          <w:szCs w:val="24"/>
        </w:rPr>
        <w:t xml:space="preserve">Следует усилить роль местных сообществ по даче оценки результатам деятельности органов местного самоуправления, квалификационные требования к кандидатам в депутаты местных кенешей дополнить требованием знания основ законодательства о государственном устройстве, а также в сфере местного самоуправления. Для этого необходимо совершенствовать законодательство, определяющее порядок формирования органов местного самоуправления. В этой связи будет разработан проект решения и методическое руководство "Типовая инструкция по распределению функциональных обязанностей сотрудников органов местного самоуправления".</w:t>
      </w:r>
    </w:p>
    <w:p>
      <w:pPr>
        <w:spacing w:after="200" w:before="200"/>
        <w:jc w:val="center"/>
      </w:pPr>
      <w:r>
        <w:rPr>
          <w:rFonts w:ascii="Arial" w:cs="Arial" w:eastAsia="Arial" w:hAnsi="Arial"/>
          <w:b/>
          <w:bCs/>
          <w:sz w:val="32"/>
          <w:szCs w:val="32"/>
        </w:rPr>
        <w:t xml:space="preserve">§ 2.Эффективные и подотчетные местному сообществу органы местного самоуправления</w:t>
      </w:r>
    </w:p>
    <w:p>
      <w:pPr>
        <w:spacing w:after="60" w:before="200"/>
        <w:ind w:firstLine="567"/>
        <w:jc w:val="both"/>
      </w:pPr>
      <w:r>
        <w:rPr>
          <w:rFonts w:ascii="Arial" w:cs="Arial" w:eastAsia="Arial" w:hAnsi="Arial"/>
          <w:b/>
          <w:bCs/>
          <w:sz w:val="24"/>
          <w:szCs w:val="24"/>
        </w:rPr>
        <w:t xml:space="preserve">Задача 2.1. Повышение эффективности решения вопросов местного значения и предоставления услуг на местном уровне</w:t>
      </w:r>
    </w:p>
    <w:p>
      <w:pPr>
        <w:spacing w:after="60"/>
        <w:ind w:firstLine="567"/>
        <w:jc w:val="both"/>
      </w:pPr>
      <w:r>
        <w:rPr>
          <w:rFonts w:ascii="Arial" w:cs="Arial" w:eastAsia="Arial" w:hAnsi="Arial"/>
          <w:sz w:val="24"/>
          <w:szCs w:val="24"/>
        </w:rPr>
        <w:t xml:space="preserve">Система управления вопросами местного значения, социально-экономического развития и предоставления услуг населению должна оперативно решать текущие вопросы, планировать и прогнозировать развитие, должна быть обеспечена ресурсами и финансами, включать оценку показателей результативности и эффективности, в том числе оценку со стороны сообщества путем участия граждан в общественном мониторинге. В законодательстве необходимо установить принципы отнесения вопросов управления к вопросам местного значения, находящихся в ведении органов местного самоуправления. Предстоит отразить и нормативно закрепить вопросы местного значения и услуги в бюджетной классификации, чтобы обеспечить исполнение расходных обязательств по решению вопросов местного значения и организации предоставления услуг.</w:t>
      </w:r>
    </w:p>
    <w:p>
      <w:pPr>
        <w:spacing w:after="60" w:before="200"/>
        <w:ind w:firstLine="567"/>
        <w:jc w:val="both"/>
      </w:pPr>
      <w:r>
        <w:rPr>
          <w:rFonts w:ascii="Arial" w:cs="Arial" w:eastAsia="Arial" w:hAnsi="Arial"/>
          <w:b/>
          <w:bCs/>
          <w:sz w:val="24"/>
          <w:szCs w:val="24"/>
        </w:rPr>
        <w:t xml:space="preserve">Задача 2.2. Разграничение функций и полномочий государственных органов и органов местного самоуправления. Делегирование государственных полномочий органам местного самоуправления</w:t>
      </w:r>
    </w:p>
    <w:p>
      <w:pPr>
        <w:spacing w:after="60"/>
        <w:ind w:firstLine="567"/>
        <w:jc w:val="both"/>
      </w:pPr>
      <w:r>
        <w:rPr>
          <w:rFonts w:ascii="Arial" w:cs="Arial" w:eastAsia="Arial" w:hAnsi="Arial"/>
          <w:sz w:val="24"/>
          <w:szCs w:val="24"/>
        </w:rPr>
        <w:t xml:space="preserve">Для выполнения органами местного самоуправления отдельных делегированных государственных полномочий в полном соответствии с законодательством предстоит совершенствовать методику расчета объема трансфертов, предоставляемых местным бюджетам для финансирования делегированных государственных полномочий.</w:t>
      </w:r>
    </w:p>
    <w:p>
      <w:pPr>
        <w:spacing w:after="60"/>
        <w:ind w:firstLine="567"/>
        <w:jc w:val="both"/>
      </w:pPr>
      <w:r>
        <w:rPr>
          <w:rFonts w:ascii="Arial" w:cs="Arial" w:eastAsia="Arial" w:hAnsi="Arial"/>
          <w:sz w:val="24"/>
          <w:szCs w:val="24"/>
        </w:rPr>
        <w:t xml:space="preserve">Предстоит провести анализ сбалансированности распределения функций между уровнями управлений (областной, районный и айылный аймак/город) с учетом проводимой административно-территориальной реформы, изучить и рассмотреть возможность передачи функции утилизации и переработки отходов, отнесенной ныне к вопросам местного значения, на региональный уровень.</w:t>
      </w:r>
    </w:p>
    <w:p>
      <w:pPr>
        <w:spacing w:after="60"/>
        <w:ind w:firstLine="567"/>
        <w:jc w:val="both"/>
      </w:pPr>
      <w:r>
        <w:rPr>
          <w:rFonts w:ascii="Arial" w:cs="Arial" w:eastAsia="Arial" w:hAnsi="Arial"/>
          <w:sz w:val="24"/>
          <w:szCs w:val="24"/>
        </w:rPr>
        <w:t xml:space="preserve">При непосредственной поддержке государственных органов, целевом финансировании из республиканского бюджета будет разработан и реализован пилотный региональный план по управлению твердыми бытовыми отходами, включающий механизмы межмуниципального сотрудничества.</w:t>
      </w:r>
    </w:p>
    <w:p>
      <w:pPr>
        <w:spacing w:after="60" w:before="200"/>
        <w:ind w:firstLine="567"/>
        <w:jc w:val="both"/>
      </w:pPr>
      <w:r>
        <w:rPr>
          <w:rFonts w:ascii="Arial" w:cs="Arial" w:eastAsia="Arial" w:hAnsi="Arial"/>
          <w:b/>
          <w:bCs/>
          <w:sz w:val="24"/>
          <w:szCs w:val="24"/>
        </w:rPr>
        <w:t xml:space="preserve">Задача 2.3. Развитие кадрового потенциала органов местного самоуправления</w:t>
      </w:r>
    </w:p>
    <w:p>
      <w:pPr>
        <w:spacing w:after="60"/>
        <w:ind w:firstLine="567"/>
        <w:jc w:val="both"/>
      </w:pPr>
      <w:r>
        <w:rPr>
          <w:rFonts w:ascii="Arial" w:cs="Arial" w:eastAsia="Arial" w:hAnsi="Arial"/>
          <w:sz w:val="24"/>
          <w:szCs w:val="24"/>
        </w:rPr>
        <w:t xml:space="preserve">Повышение кадрового потенциала лиц, занимающих политические муниципальные должности (депутатов местных кенешей, мэров городов и глав айыл окмоту) в органах местного самоуправления, для осуществления ими полномочий в полном объеме. Будет продолжено проведение обучения лиц, занимающих политические муниципальные должности в рамках государственного заказа. Необходимо обеспечить дальнейшее развитие обучения лиц, занимающих политические муниципальные должности, через ведомственное направление на обучение. Необходимо усилить нормативное закрепление необходимости и обязательства обучения данных лиц как через государственный заказ, так и в рамках ведомственного направления на обучение.</w:t>
      </w:r>
    </w:p>
    <w:p>
      <w:pPr>
        <w:spacing w:after="60"/>
        <w:ind w:firstLine="567"/>
        <w:jc w:val="both"/>
      </w:pPr>
      <w:r>
        <w:rPr>
          <w:rFonts w:ascii="Arial" w:cs="Arial" w:eastAsia="Arial" w:hAnsi="Arial"/>
          <w:sz w:val="24"/>
          <w:szCs w:val="24"/>
        </w:rPr>
        <w:t xml:space="preserve">Обучение станет обязательным для лиц, занимающих политические муниципальные должности. Будут приняты меры по законодательно закрепленному финансированию обучения лиц, занимающих политические муниципальные должности.</w:t>
      </w:r>
    </w:p>
    <w:p>
      <w:pPr>
        <w:spacing w:after="60" w:before="200"/>
        <w:ind w:firstLine="567"/>
        <w:jc w:val="both"/>
      </w:pPr>
      <w:r>
        <w:rPr>
          <w:rFonts w:ascii="Arial" w:cs="Arial" w:eastAsia="Arial" w:hAnsi="Arial"/>
          <w:b/>
          <w:bCs/>
          <w:sz w:val="24"/>
          <w:szCs w:val="24"/>
        </w:rPr>
        <w:t xml:space="preserve">Задача 2.4. Укрепление ресурсной базы местного самоуправления</w:t>
      </w:r>
    </w:p>
    <w:p>
      <w:pPr>
        <w:spacing w:after="60"/>
        <w:ind w:firstLine="567"/>
        <w:jc w:val="both"/>
      </w:pPr>
      <w:r>
        <w:rPr>
          <w:rFonts w:ascii="Arial" w:cs="Arial" w:eastAsia="Arial" w:hAnsi="Arial"/>
          <w:sz w:val="24"/>
          <w:szCs w:val="24"/>
        </w:rPr>
        <w:t xml:space="preserve">Будет продолжена цифровизация процесса и учета результатов управления муниципальной собственностью путем разработки и реализации Государственной программы создания единой информационной системы учета объектов, находящихся в муниципальной собственности, в сочетании с реестром и кадастром государственной регистрации прав на недвижимое имущество, дальнейшего внедрения электронного формата передачи прав (электронная торговая площадка) в отношении муниципального имущества (собственность, аренда, пользование), цифровизации процесса работы комиссий по предоставлению объектов, находящихся в муниципальной собственности.</w:t>
      </w:r>
    </w:p>
    <w:p>
      <w:pPr>
        <w:spacing w:after="60"/>
        <w:ind w:firstLine="567"/>
        <w:jc w:val="both"/>
      </w:pPr>
      <w:r>
        <w:rPr>
          <w:rFonts w:ascii="Arial" w:cs="Arial" w:eastAsia="Arial" w:hAnsi="Arial"/>
          <w:sz w:val="24"/>
          <w:szCs w:val="24"/>
        </w:rPr>
        <w:t xml:space="preserve">Развитие системы межбюджетных отношений должно происходить в тесной связи с уточнением состава вопросов местного значения и оценкой соответствующего объема расходов. Основная цель выравнивающих трансфертов - предоставить органам местного самоуправления возможность обеспечить гражданам доступ к стандартному объему услуг, финансируемых из средств местного бюджета, при уровне налоговых усилий не ниже среднего. Для этого требуется: прямое стимулирование органов местного самоуправления с помощью трансфертов или грантов, предоставляемых по результатам перевыполнения планов по поступлениям отдельных видов налогов или при росте ключевых экономических показателей; расширение полномочий органов местного самоуправления в части администрирования налогов, включая распространение полномочий, предусмотренных </w:t>
      </w:r>
      <w:hyperlink w:history="1" r:id="rIdj0jlwdrypkwttzcszikv5">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Налогового кодекса Кыргызской Республики, на иные налоги; создание стимулирующего эффекта межбюджетного регулирования путем использования дифференцированных нормативов отчислений от налогов для полной или частичной замены рассчитанных объемов выравнивающих трансфертов. Учитывая, что при распределении выравнивающих трансфертов органы местного самоуправления не должны нести потери, целесообразно сохранить предусмотренный в бюджетном законодательстве механизм неснижения объема трансферта в течение последующих трех лет.</w:t>
      </w:r>
    </w:p>
    <w:p>
      <w:pPr>
        <w:spacing w:after="60"/>
        <w:ind w:firstLine="567"/>
        <w:jc w:val="both"/>
      </w:pPr>
      <w:r>
        <w:rPr>
          <w:rFonts w:ascii="Arial" w:cs="Arial" w:eastAsia="Arial" w:hAnsi="Arial"/>
          <w:sz w:val="24"/>
          <w:szCs w:val="24"/>
        </w:rPr>
        <w:t xml:space="preserve">Будет продолжено конструктивное взаимодействие органов местного самоуправления с налоговыми органами в вопросах информационного обмена, легализации налоговой базы; оценки эффективности администрирования налоговых и неналоговых доходов.</w:t>
      </w:r>
    </w:p>
    <w:p>
      <w:pPr>
        <w:spacing w:after="60" w:before="200"/>
        <w:ind w:firstLine="567"/>
        <w:jc w:val="both"/>
      </w:pPr>
      <w:r>
        <w:rPr>
          <w:rFonts w:ascii="Arial" w:cs="Arial" w:eastAsia="Arial" w:hAnsi="Arial"/>
          <w:b/>
          <w:bCs/>
          <w:sz w:val="24"/>
          <w:szCs w:val="24"/>
        </w:rPr>
        <w:t xml:space="preserve">Задача 2.5. Оптимизация административно-территориального устройства</w:t>
      </w:r>
    </w:p>
    <w:p>
      <w:pPr>
        <w:spacing w:after="60"/>
        <w:ind w:firstLine="567"/>
        <w:jc w:val="both"/>
      </w:pPr>
      <w:r>
        <w:rPr>
          <w:rFonts w:ascii="Arial" w:cs="Arial" w:eastAsia="Arial" w:hAnsi="Arial"/>
          <w:sz w:val="24"/>
          <w:szCs w:val="24"/>
        </w:rPr>
        <w:t xml:space="preserve">В Национальной программе предусмотрена необходимость проведения реформы административно-территориального устройства, в целях реализации которого проводится работа по проведению в пилотном режиме административно-территориальной реформы (далее - АТР) на уровне айылных аймаков и городов.</w:t>
      </w:r>
    </w:p>
    <w:p>
      <w:pPr>
        <w:spacing w:after="60"/>
        <w:ind w:firstLine="567"/>
        <w:jc w:val="both"/>
      </w:pPr>
      <w:r>
        <w:rPr>
          <w:rFonts w:ascii="Arial" w:cs="Arial" w:eastAsia="Arial" w:hAnsi="Arial"/>
          <w:sz w:val="24"/>
          <w:szCs w:val="24"/>
        </w:rPr>
        <w:t xml:space="preserve">Будут разработаны необходимые нормативные правовые акты и методические рекомендации для органов местного самоуправления по осуществлению деятельности в условиях АТР, проведены обучение, консультации по деятельности органов местного самоуправления в условиях АТР.</w:t>
      </w:r>
    </w:p>
    <w:p>
      <w:pPr>
        <w:spacing w:after="60"/>
        <w:ind w:firstLine="567"/>
        <w:jc w:val="both"/>
      </w:pPr>
      <w:r>
        <w:rPr>
          <w:rFonts w:ascii="Arial" w:cs="Arial" w:eastAsia="Arial" w:hAnsi="Arial"/>
          <w:sz w:val="24"/>
          <w:szCs w:val="24"/>
        </w:rPr>
        <w:t xml:space="preserve">По результатам пилотного проекта будут подготовлены все необходимые документы органами местного самоуправления для разработки соответствующих проектов нормативных правовых актов.</w:t>
      </w:r>
    </w:p>
    <w:p>
      <w:pPr>
        <w:spacing w:after="60"/>
        <w:ind w:firstLine="567"/>
        <w:jc w:val="both"/>
      </w:pPr>
      <w:r>
        <w:rPr>
          <w:rFonts w:ascii="Arial" w:cs="Arial" w:eastAsia="Arial" w:hAnsi="Arial"/>
          <w:sz w:val="24"/>
          <w:szCs w:val="24"/>
        </w:rPr>
        <w:t xml:space="preserve">Необходимо провести соответствующую работу с органами местного самоуправления, местными государственными администрациями районов, аппаратами полномочных представителей Президента Кыргызской Республики по отнесению населенных пунктов республики к категории айыла (села), а также по наименованию и переименованию административно-территориальных и территориальных единиц, имеющих неблагозвучные названия.</w:t>
      </w:r>
    </w:p>
    <w:p>
      <w:pPr>
        <w:spacing w:after="200" w:before="200"/>
        <w:jc w:val="center"/>
      </w:pPr>
      <w:r>
        <w:rPr>
          <w:rFonts w:ascii="Arial" w:cs="Arial" w:eastAsia="Arial" w:hAnsi="Arial"/>
          <w:b/>
          <w:bCs/>
          <w:sz w:val="32"/>
          <w:szCs w:val="32"/>
        </w:rPr>
        <w:t xml:space="preserve">§ 3. Социально-экономическое и пространственное планирование как фактор устойчивого управления развитием</w:t>
      </w:r>
    </w:p>
    <w:p>
      <w:pPr>
        <w:spacing w:after="60" w:before="200"/>
        <w:ind w:firstLine="567"/>
        <w:jc w:val="both"/>
      </w:pPr>
      <w:r>
        <w:rPr>
          <w:rFonts w:ascii="Arial" w:cs="Arial" w:eastAsia="Arial" w:hAnsi="Arial"/>
          <w:b/>
          <w:bCs/>
          <w:sz w:val="24"/>
          <w:szCs w:val="24"/>
        </w:rPr>
        <w:t xml:space="preserve">Задача 3.1. Совершенствование системы социально-экономического и пространственного планирования, прогнозирования и мониторинга развития на уровне местного самоуправления с использованием данных</w:t>
      </w:r>
    </w:p>
    <w:p>
      <w:pPr>
        <w:spacing w:after="60"/>
        <w:ind w:firstLine="567"/>
        <w:jc w:val="both"/>
      </w:pPr>
      <w:r>
        <w:rPr>
          <w:rFonts w:ascii="Arial" w:cs="Arial" w:eastAsia="Arial" w:hAnsi="Arial"/>
          <w:sz w:val="24"/>
          <w:szCs w:val="24"/>
        </w:rPr>
        <w:t xml:space="preserve">Совместными усилиями уполномоченных государственных органов и органов местного самоуправления процесс планирования, прогнозирования и мониторинга развития будет усовершенствован в следующих направлениях: сочетание пространственного и социально-экономического аспектов, обеспечение создания условий для развития человека, ответственное управление природными ресурсами, защита окружающей среды, рациональное использование земли в вопросах размещения, организации и развития населенных пунктов, инфраструктуры.</w:t>
      </w:r>
    </w:p>
    <w:p>
      <w:pPr>
        <w:spacing w:after="60" w:before="200"/>
        <w:ind w:firstLine="567"/>
        <w:jc w:val="both"/>
      </w:pPr>
      <w:r>
        <w:rPr>
          <w:rFonts w:ascii="Arial" w:cs="Arial" w:eastAsia="Arial" w:hAnsi="Arial"/>
          <w:b/>
          <w:bCs/>
          <w:sz w:val="24"/>
          <w:szCs w:val="24"/>
        </w:rPr>
        <w:t xml:space="preserve">Задача 3.2. Содействие местным сообществам в адаптации к изменению климата</w:t>
      </w:r>
    </w:p>
    <w:p>
      <w:pPr>
        <w:spacing w:after="60"/>
        <w:ind w:firstLine="567"/>
        <w:jc w:val="both"/>
      </w:pPr>
      <w:r>
        <w:rPr>
          <w:rFonts w:ascii="Arial" w:cs="Arial" w:eastAsia="Arial" w:hAnsi="Arial"/>
          <w:sz w:val="24"/>
          <w:szCs w:val="24"/>
        </w:rPr>
        <w:t xml:space="preserve">Органам местного самоуправления предстоит научиться оценивать риски и осуществлять системные меры по повышению жизнестойкости местных сообществ в условиях изменения климата и обеспечению экологической безопасности населения.</w:t>
      </w:r>
    </w:p>
    <w:p>
      <w:pPr>
        <w:spacing w:after="60"/>
        <w:ind w:firstLine="567"/>
        <w:jc w:val="both"/>
      </w:pPr>
      <w:r>
        <w:rPr>
          <w:rFonts w:ascii="Arial" w:cs="Arial" w:eastAsia="Arial" w:hAnsi="Arial"/>
          <w:sz w:val="24"/>
          <w:szCs w:val="24"/>
        </w:rPr>
        <w:t xml:space="preserve">В программы социально-экономического развития на уровне местного самоуправления будут включены меры по предупреждению и ликвидации чрезвычайных ситуаций, информированию населения о последствиях изменения климата и их смягчению.</w:t>
      </w:r>
    </w:p>
    <w:p>
      <w:pPr>
        <w:spacing w:after="200" w:before="200"/>
        <w:jc w:val="center"/>
      </w:pPr>
      <w:r>
        <w:rPr>
          <w:rFonts w:ascii="Arial" w:cs="Arial" w:eastAsia="Arial" w:hAnsi="Arial"/>
          <w:b/>
          <w:bCs/>
          <w:sz w:val="32"/>
          <w:szCs w:val="32"/>
        </w:rPr>
        <w:t xml:space="preserve">Глава 5. Мониторинг и оценка</w:t>
      </w:r>
    </w:p>
    <w:p>
      <w:pPr>
        <w:spacing w:after="60"/>
        <w:ind w:firstLine="567"/>
        <w:jc w:val="both"/>
      </w:pPr>
      <w:r>
        <w:rPr>
          <w:rFonts w:ascii="Arial" w:cs="Arial" w:eastAsia="Arial" w:hAnsi="Arial"/>
          <w:sz w:val="24"/>
          <w:szCs w:val="24"/>
        </w:rPr>
        <w:t xml:space="preserve">Управление процессом реализации Программы предусматривает систематический анализ и оценку актуальности приоритетных направлений, мониторинг результатов принятых мер и мероприятий, выявление отклонений от заявленных целей, анализ причин их возникновения, внесение необходимых корректив. Мониторинг и оценка реализации Программы организуются Государственным агентством по делам государственной службы и местному самоуправлению при Кабинете Министров Кыргызской Республики.</w:t>
      </w:r>
    </w:p>
    <w:p>
      <w:pPr>
        <w:spacing w:after="60"/>
        <w:ind w:firstLine="567"/>
        <w:jc w:val="both"/>
      </w:pPr>
      <w:r>
        <w:rPr>
          <w:rFonts w:ascii="Arial" w:cs="Arial" w:eastAsia="Arial" w:hAnsi="Arial"/>
          <w:sz w:val="24"/>
          <w:szCs w:val="24"/>
        </w:rPr>
        <w:t xml:space="preserve">Мониторинг носит совместный характер и проводится силами созданной для этих целей совместной группы мониторинга, которая включает различные заинтересованные стороны и участников реализации Программы, в том числе органы местного самоуправления в лице объединения юридических лиц "Союз местных самоуправлений Кыргызской Республики", независимые институты гражданского общества, экспертное сообщество, партнеров по развитию. Совместная группа мониторинга разработает и выполнит план мониторинга, в котором будут сформулированы задачи и объекты мониторинга, выстроена система индикаторов по всем направлениям реализации Программы. Индикаторы должны быть объективно проверяемы и измерять прогресс в выполнении задачи или достижении цели Программы в виде конкретной и измеримой формулировки.</w:t>
      </w:r>
    </w:p>
    <w:p>
      <w:pPr>
        <w:spacing w:after="60"/>
        <w:ind w:firstLine="567"/>
        <w:jc w:val="both"/>
      </w:pPr>
      <w:r>
        <w:rPr>
          <w:rFonts w:ascii="Arial" w:cs="Arial" w:eastAsia="Arial" w:hAnsi="Arial"/>
          <w:sz w:val="24"/>
          <w:szCs w:val="24"/>
        </w:rPr>
        <w:t xml:space="preserve">Оценка организуется уполномоченным государственным органом не реже одного раза в год с привлечением независимых экспертов и организаций. Оценка проводится для определения степени достижения заявленных Программой целей, в том числе промежуточных, а также определения степени удовлетворенности населения достигнутыми результатами.</w:t>
      </w:r>
    </w:p>
    <w:p>
      <w:pPr>
        <w:spacing w:after="60"/>
        <w:ind w:firstLine="567"/>
        <w:jc w:val="both"/>
      </w:pPr>
      <w:r>
        <w:rPr>
          <w:rFonts w:ascii="Arial" w:cs="Arial" w:eastAsia="Arial" w:hAnsi="Arial"/>
          <w:sz w:val="24"/>
          <w:szCs w:val="24"/>
        </w:rPr>
        <w:t xml:space="preserve">Открытость результатов мониторинга и оценки будет обеспечена путем размещения результатов на официальных сайтах уполномоченного государственного органа, объединения юридических лиц "Союз местных самоуправлений Кыргызской Республики" и других интернет-ресурсах.</w:t>
      </w:r>
    </w:p>
    <w:p>
      <w:pPr>
        <w:spacing w:after="200" w:before="200"/>
        <w:jc w:val="center"/>
      </w:pPr>
      <w:r>
        <w:rPr>
          <w:rFonts w:ascii="Arial" w:cs="Arial" w:eastAsia="Arial" w:hAnsi="Arial"/>
          <w:b/>
          <w:bCs/>
          <w:sz w:val="32"/>
          <w:szCs w:val="32"/>
        </w:rPr>
        <w:t xml:space="preserve">Глава 6. Управление рисками</w:t>
      </w:r>
    </w:p>
    <w:p>
      <w:pPr>
        <w:spacing w:after="60"/>
        <w:ind w:firstLine="567"/>
        <w:jc w:val="both"/>
      </w:pPr>
      <w:r>
        <w:rPr>
          <w:rFonts w:ascii="Arial" w:cs="Arial" w:eastAsia="Arial" w:hAnsi="Arial"/>
          <w:sz w:val="24"/>
          <w:szCs w:val="24"/>
        </w:rPr>
        <w:t xml:space="preserve">Потенциальные риски реализации Программы:</w:t>
      </w:r>
    </w:p>
    <w:p>
      <w:pPr>
        <w:spacing w:after="60"/>
        <w:ind w:firstLine="567"/>
        <w:jc w:val="both"/>
      </w:pPr>
      <w:r>
        <w:rPr>
          <w:rFonts w:ascii="Arial" w:cs="Arial" w:eastAsia="Arial" w:hAnsi="Arial"/>
          <w:sz w:val="24"/>
          <w:szCs w:val="24"/>
        </w:rPr>
        <w:t xml:space="preserve">- политико-программный риск - изменение государственной политики в отношении местного самоуправления может привести к изменению программных целей и задач;</w:t>
      </w:r>
    </w:p>
    <w:p>
      <w:pPr>
        <w:spacing w:after="60"/>
        <w:ind w:firstLine="567"/>
        <w:jc w:val="both"/>
      </w:pPr>
      <w:r>
        <w:rPr>
          <w:rFonts w:ascii="Arial" w:cs="Arial" w:eastAsia="Arial" w:hAnsi="Arial"/>
          <w:sz w:val="24"/>
          <w:szCs w:val="24"/>
        </w:rPr>
        <w:t xml:space="preserve">- отсутствие баланса с реформами по другим направлениям как фискально-экономическим, так и политико-управленческим;</w:t>
      </w:r>
    </w:p>
    <w:p>
      <w:pPr>
        <w:spacing w:after="60"/>
        <w:ind w:firstLine="567"/>
        <w:jc w:val="both"/>
      </w:pPr>
      <w:r>
        <w:rPr>
          <w:rFonts w:ascii="Arial" w:cs="Arial" w:eastAsia="Arial" w:hAnsi="Arial"/>
          <w:sz w:val="24"/>
          <w:szCs w:val="24"/>
        </w:rPr>
        <w:t xml:space="preserve">- программные цели и задачи столкнутся со слабой системой управления и низким потенциалом кадров;</w:t>
      </w:r>
    </w:p>
    <w:p>
      <w:pPr>
        <w:spacing w:after="60"/>
        <w:ind w:firstLine="567"/>
        <w:jc w:val="both"/>
      </w:pPr>
      <w:r>
        <w:rPr>
          <w:rFonts w:ascii="Arial" w:cs="Arial" w:eastAsia="Arial" w:hAnsi="Arial"/>
          <w:sz w:val="24"/>
          <w:szCs w:val="24"/>
        </w:rPr>
        <w:t xml:space="preserve">- недостаточность средств на реализацию Программы может стать причиной неисполнения.</w:t>
      </w:r>
    </w:p>
    <w:p>
      <w:pPr>
        <w:spacing w:after="60"/>
        <w:ind w:firstLine="567"/>
        <w:jc w:val="both"/>
      </w:pPr>
      <w:r>
        <w:rPr>
          <w:rFonts w:ascii="Arial" w:cs="Arial" w:eastAsia="Arial" w:hAnsi="Arial"/>
          <w:sz w:val="24"/>
          <w:szCs w:val="24"/>
        </w:rPr>
        <w:t xml:space="preserve">Эти и другие риски будут проанализированы детально и расширены.</w:t>
      </w:r>
    </w:p>
    <w:p>
      <w:pPr>
        <w:spacing w:after="60"/>
        <w:ind w:firstLine="567"/>
        <w:jc w:val="both"/>
      </w:pPr>
      <w:r>
        <w:rPr>
          <w:rFonts w:ascii="Arial" w:cs="Arial" w:eastAsia="Arial" w:hAnsi="Arial"/>
          <w:sz w:val="24"/>
          <w:szCs w:val="24"/>
        </w:rPr>
        <w:t xml:space="preserve">Управление рисками реализации Программы будет включать следующие меры:</w:t>
      </w:r>
    </w:p>
    <w:p>
      <w:pPr>
        <w:spacing w:after="60"/>
        <w:ind w:firstLine="567"/>
        <w:jc w:val="both"/>
      </w:pPr>
      <w:r>
        <w:rPr>
          <w:rFonts w:ascii="Arial" w:cs="Arial" w:eastAsia="Arial" w:hAnsi="Arial"/>
          <w:sz w:val="24"/>
          <w:szCs w:val="24"/>
        </w:rPr>
        <w:t xml:space="preserve">- формирование мониторинговой группы по отслеживанию и оценке рисков реализации Программы;</w:t>
      </w:r>
    </w:p>
    <w:p>
      <w:pPr>
        <w:spacing w:after="60"/>
        <w:ind w:firstLine="567"/>
        <w:jc w:val="both"/>
      </w:pPr>
      <w:r>
        <w:rPr>
          <w:rFonts w:ascii="Arial" w:cs="Arial" w:eastAsia="Arial" w:hAnsi="Arial"/>
          <w:sz w:val="24"/>
          <w:szCs w:val="24"/>
        </w:rPr>
        <w:t xml:space="preserve">- разработка и реализация плана управления рисками реализации Программы силами мониторинговой группы;</w:t>
      </w:r>
    </w:p>
    <w:p>
      <w:pPr>
        <w:spacing w:after="60"/>
        <w:ind w:firstLine="567"/>
        <w:jc w:val="both"/>
      </w:pPr>
      <w:r>
        <w:rPr>
          <w:rFonts w:ascii="Arial" w:cs="Arial" w:eastAsia="Arial" w:hAnsi="Arial"/>
          <w:sz w:val="24"/>
          <w:szCs w:val="24"/>
        </w:rPr>
        <w:t xml:space="preserve">- проведение анализа страновых и отраслевых программ на предмет их влияния на возможности и эффективность местного самоуправления, внесение корректив в случае их возникновения;</w:t>
      </w:r>
    </w:p>
    <w:p>
      <w:pPr>
        <w:spacing w:after="60"/>
        <w:ind w:firstLine="567"/>
        <w:jc w:val="both"/>
      </w:pPr>
      <w:r>
        <w:rPr>
          <w:rFonts w:ascii="Arial" w:cs="Arial" w:eastAsia="Arial" w:hAnsi="Arial"/>
          <w:sz w:val="24"/>
          <w:szCs w:val="24"/>
        </w:rPr>
        <w:t xml:space="preserve">- регулярное рассмотрение результатов исполнения плана по управлению рисками уполномоченным государственным органом;</w:t>
      </w:r>
    </w:p>
    <w:p>
      <w:pPr>
        <w:spacing w:after="60"/>
        <w:ind w:firstLine="567"/>
        <w:jc w:val="both"/>
      </w:pPr>
      <w:r>
        <w:rPr>
          <w:rFonts w:ascii="Arial" w:cs="Arial" w:eastAsia="Arial" w:hAnsi="Arial"/>
          <w:sz w:val="24"/>
          <w:szCs w:val="24"/>
        </w:rPr>
        <w:t xml:space="preserve">- эффективное проведение работы по использованию имеющихся ресурсов и расширению источников развития территорий.</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y9ls_txjrf36py7fzsa" Type="http://schemas.openxmlformats.org/officeDocument/2006/relationships/hyperlink" Target="http://kodeks.duckdns.org/document/230002561" TargetMode="External"/><Relationship Id="rIdk56r-45reafpporirbmha" Type="http://schemas.openxmlformats.org/officeDocument/2006/relationships/hyperlink" Target="http://kodeks.duckdns.org/document/430700" TargetMode="External"/><Relationship Id="rId289odqs3hxrhbpszqomky" Type="http://schemas.openxmlformats.org/officeDocument/2006/relationships/hyperlink" Target="http://kodeks.duckdns.org/document/430699" TargetMode="External"/><Relationship Id="rIdlcxqrey3ddc1tsougdveu" Type="http://schemas.openxmlformats.org/officeDocument/2006/relationships/hyperlink" Target="http://kodeks.duckdns.org/document/4093" TargetMode="External"/><Relationship Id="rIdxxcpfucnpr99-tt1cpera" Type="http://schemas.openxmlformats.org/officeDocument/2006/relationships/hyperlink" Target="http://kodeks.duckdns.org/document/55093" TargetMode="External"/><Relationship Id="rIdskztkhfmsrlqvqkxnetpu" Type="http://schemas.openxmlformats.org/officeDocument/2006/relationships/hyperlink" Target="http://kodeks.duckdns.org/document/4093" TargetMode="External"/><Relationship Id="rIdj0jlwdrypkwttzcszikv5" Type="http://schemas.openxmlformats.org/officeDocument/2006/relationships/hyperlink" Target="http://kodeks.duckdns.org/document/112340#st_62"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2026-09-23T11:37:15.204Z</dcterms:created>
  <dcterms:modified xsi:type="dcterms:W3CDTF">2026-09-23T11:37:15.204Z</dcterms:modified>
</cp:coreProperties>
</file>

<file path=docProps/custom.xml><?xml version="1.0" encoding="utf-8"?>
<Properties xmlns="http://schemas.openxmlformats.org/officeDocument/2006/custom-properties" xmlns:vt="http://schemas.openxmlformats.org/officeDocument/2006/docPropsVTypes"/>
</file>