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utocyjs4rcuookcezkcez">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4 июня 2025 года УП № 175</w:t>
      </w:r>
    </w:p>
    <w:p>
      <w:pPr>
        <w:spacing w:after="3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УКАЗ ПРЕЗИДЕНТА КЫРГЫЗСКОЙ РЕСПУБЛИКИ</w:t>
      </w:r>
    </w:p>
    <w:p>
      <w:pPr>
        <w:spacing w:after="200" w:before="200"/>
        <w:jc w:val="left"/>
      </w:pPr>
      <w:r>
        <w:rPr>
          <w:rFonts w:ascii="Arial" w:cs="Arial" w:eastAsia="Arial" w:hAnsi="Arial"/>
          <w:sz w:val="24"/>
          <w:szCs w:val="24"/>
        </w:rPr>
        <w:t xml:space="preserve">от 1 апреля 2024 года УП № 86</w:t>
      </w:r>
    </w:p>
    <w:p>
      <w:pPr>
        <w:spacing w:after="400" w:before="400"/>
        <w:jc w:val="center"/>
      </w:pPr>
      <w:r>
        <w:rPr>
          <w:rFonts w:ascii="Arial" w:cs="Arial" w:eastAsia="Arial" w:hAnsi="Arial"/>
          <w:b/>
          <w:bCs/>
          <w:sz w:val="28"/>
          <w:szCs w:val="28"/>
        </w:rPr>
        <w:t xml:space="preserve">О политических государственных должностях, специальных государственных должностях и политических муниципальных должностях</w:t>
      </w:r>
    </w:p>
    <w:p>
      <w:pPr>
        <w:spacing w:after="120"/>
        <w:jc w:val="center"/>
      </w:pPr>
      <w:r>
        <w:rPr>
          <w:rFonts w:ascii="Arial" w:cs="Arial" w:eastAsia="Arial" w:hAnsi="Arial"/>
          <w:i/>
          <w:iCs/>
          <w:sz w:val="24"/>
          <w:szCs w:val="24"/>
        </w:rPr>
        <w:t xml:space="preserve">(В редакции Указа Президента КР от </w:t>
      </w:r>
      <w:hyperlink w:history="1" r:id="rId3q_p1faylsyft0dv2t4ye">
        <w:r>
          <w:rPr>
            <w:rFonts w:ascii="Arial" w:cs="Arial" w:eastAsia="Arial" w:hAnsi="Arial"/>
            <w:i/>
            <w:iCs/>
            <w:color w:val="1D4ED8"/>
            <w:sz w:val="24"/>
            <w:szCs w:val="24"/>
            <w:u w:val="single"/>
          </w:rPr>
          <w:t xml:space="preserve">29 января 2025 года УП № 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урегулирования вопросов организации деятельности лиц, занимающих политические государственные должности, специальные государственные должности и политические муниципальные должности (далее - служащие), до принятия соответствующего законодательного акта Кыргызской Республики, руководствуясь </w:t>
      </w:r>
      <w:hyperlink w:history="1" r:id="rIdnn0jjbzn7datanpgdf64c">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Установить, что деятельность служащих регулируется настоящим Указом в той мере, в которой их профессиональная деятельность не урегулирована законодательством, регламентирующим их статус.</w:t>
      </w:r>
    </w:p>
    <w:p>
      <w:pPr>
        <w:spacing w:after="60"/>
        <w:ind w:firstLine="567"/>
        <w:jc w:val="both"/>
      </w:pPr>
      <w:r>
        <w:rPr>
          <w:rFonts w:ascii="Arial" w:cs="Arial" w:eastAsia="Arial" w:hAnsi="Arial"/>
          <w:sz w:val="24"/>
          <w:szCs w:val="24"/>
        </w:rPr>
        <w:t xml:space="preserve">2. Определить, что:</w:t>
      </w:r>
    </w:p>
    <w:p>
      <w:pPr>
        <w:spacing w:after="60"/>
        <w:ind w:firstLine="567"/>
        <w:jc w:val="both"/>
      </w:pPr>
      <w:r>
        <w:rPr>
          <w:rFonts w:ascii="Arial" w:cs="Arial" w:eastAsia="Arial" w:hAnsi="Arial"/>
          <w:sz w:val="24"/>
          <w:szCs w:val="24"/>
        </w:rPr>
        <w:t xml:space="preserve">- поступление на политическую государственную службу, государственную службу со специальным статусом и политическую муниципальную службу осуществляется путем избрания или назначения на политическую государственную должность, специальную государственную должность и политическую муниципальную должность в порядке и случаях, предусмотренных </w:t>
      </w:r>
      <w:hyperlink w:history="1" r:id="rIdiscrou5la8ezbudf4kzg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служащие имеют соответствующие полномочия, обязанности и права, установленные </w:t>
      </w:r>
      <w:hyperlink w:history="1" r:id="rId_btkl0e36pvb1gp6jjjf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60"/>
        <w:ind w:firstLine="567"/>
        <w:jc w:val="both"/>
      </w:pPr>
      <w:r>
        <w:rPr>
          <w:rFonts w:ascii="Arial" w:cs="Arial" w:eastAsia="Arial" w:hAnsi="Arial"/>
          <w:sz w:val="24"/>
          <w:szCs w:val="24"/>
        </w:rPr>
        <w:t xml:space="preserve">- если иное не предусмотрено </w:t>
      </w:r>
      <w:hyperlink w:history="1" r:id="rIdvuhwhrod-7lz3bnb9whi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началом осуществления полномочий лицом, поступившим на политическую государственную службу, государственную службу со специальным статусом и политическую муниципальную службу, является день избрания или назначения его на политическую государственную должность, специальную государственную должность и политическую муниципальную должность;</w:t>
      </w:r>
    </w:p>
    <w:p>
      <w:pPr>
        <w:spacing w:after="120"/>
        <w:ind w:firstLine="567"/>
        <w:jc w:val="both"/>
      </w:pPr>
      <w:r>
        <w:rPr>
          <w:rFonts w:ascii="Arial" w:cs="Arial" w:eastAsia="Arial" w:hAnsi="Arial"/>
          <w:sz w:val="24"/>
          <w:szCs w:val="24"/>
        </w:rPr>
        <w:t xml:space="preserve">- за ненадлежащее исполнение возложенных обязанностей, нарушение трудовой дисциплины, законодательства Кыргызской Республики о труде, присяги (клятвы), а также несоблюдение установленных законами ограничений, связанных с пребыванием на государственной службе и/или муниципальной службе, на служащих в соответствии с законодательством могут налагаться дисциплинарные взыскания Президентом Кыргызской Республики, Торага Жогорку Кенеша Кыргызской Республики, Председателем Кабинета Министров Кыргызской Республики - Руководителем Администрации Президента Кыргызской Республики, Руководителем Аппарата Жогорку Кенеша Кыргызской Республики, соответственно назначенных на должности указанными должностными лицами;</w:t>
      </w:r>
    </w:p>
    <w:p>
      <w:pPr>
        <w:spacing w:after="120"/>
        <w:ind w:firstLine="567"/>
        <w:jc w:val="both"/>
      </w:pPr>
      <w:r>
        <w:rPr>
          <w:rFonts w:ascii="Arial" w:cs="Arial" w:eastAsia="Arial" w:hAnsi="Arial"/>
          <w:sz w:val="24"/>
          <w:szCs w:val="24"/>
        </w:rPr>
        <w:t xml:space="preserve">- лицо, поступившее на политическую государственную службу, государственную службу со специальным статусом и политическую муниципальную службу, проходит обучение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 полномочия лиц, замещающих политические государственные должности, специальные государственные должности и политические муниципальные должности, прекращаются в порядке и случаях, предусмотренных </w:t>
      </w:r>
      <w:hyperlink w:history="1" r:id="rId36bbzsm5eddqv6pigjfb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 помимо оснований для освобождения лица от занимаемой политической государственной должности, специальной государственной должности и политической муниципальной должности в государственных органах и органах местного самоуправления, установленных </w:t>
      </w:r>
      <w:hyperlink w:history="1" r:id="rId7k8itapgzixgzqjhtbwf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служащий может быть освобожден от занимаемой должности в случае несоответствия его деятельности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 служащие, освобожденные от должности в связи с совершением ими преступлений, в том числе должностного характера, не могут занимать государственные должности в течение сроков,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 запрещается вхождение служащих в состав политических партий, органов управления попечительских или наблюдательных советов, иных некоммерческих неправительственных организаций,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krn5dyf9zlu2hapccu7g_">
        <w:r>
          <w:rPr>
            <w:rFonts w:ascii="Arial" w:cs="Arial" w:eastAsia="Arial" w:hAnsi="Arial"/>
            <w:i/>
            <w:iCs/>
            <w:color w:val="1D4ED8"/>
            <w:sz w:val="24"/>
            <w:szCs w:val="24"/>
            <w:u w:val="single"/>
          </w:rPr>
          <w:t xml:space="preserve">29 января 2025 года УП № 26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Служащим не может быть лицо:</w:t>
      </w:r>
    </w:p>
    <w:p>
      <w:pPr>
        <w:spacing w:after="120"/>
        <w:ind w:firstLine="567"/>
        <w:jc w:val="both"/>
      </w:pPr>
      <w:r>
        <w:rPr>
          <w:rFonts w:ascii="Arial" w:cs="Arial" w:eastAsia="Arial" w:hAnsi="Arial"/>
          <w:sz w:val="24"/>
          <w:szCs w:val="24"/>
        </w:rPr>
        <w:t xml:space="preserve">- имеющее судимость, непогашенную в установленном законодательством порядке, за исключением случаев, предусмотренных абзацем третьим настоящего пункта;</w:t>
      </w:r>
    </w:p>
    <w:p>
      <w:pPr>
        <w:spacing w:after="120"/>
        <w:ind w:firstLine="567"/>
        <w:jc w:val="both"/>
      </w:pPr>
      <w:r>
        <w:rPr>
          <w:rFonts w:ascii="Arial" w:cs="Arial" w:eastAsia="Arial" w:hAnsi="Arial"/>
          <w:sz w:val="24"/>
          <w:szCs w:val="24"/>
        </w:rPr>
        <w:t xml:space="preserve">- имеющее судимость за совершение коррупционных и иных преступлений против интересов государственной и муниципальной службы, предусмотренных статьями </w:t>
      </w:r>
      <w:hyperlink w:history="1" r:id="rIdtboeo7dmcct2n7xo3zcdm">
        <w:r>
          <w:rPr>
            <w:rFonts w:ascii="Arial" w:cs="Arial" w:eastAsia="Arial" w:hAnsi="Arial"/>
            <w:color w:val="1D4ED8"/>
            <w:sz w:val="24"/>
            <w:szCs w:val="24"/>
            <w:u w:val="single"/>
          </w:rPr>
          <w:t xml:space="preserve">336</w:t>
        </w:r>
      </w:hyperlink>
      <w:r>
        <w:rPr>
          <w:rFonts w:ascii="Arial" w:cs="Arial" w:eastAsia="Arial" w:hAnsi="Arial"/>
          <w:sz w:val="24"/>
          <w:szCs w:val="24"/>
        </w:rPr>
        <w:t xml:space="preserve">-</w:t>
      </w:r>
      <w:hyperlink w:history="1" r:id="rIdraed29ef2hn8l9-xx9tkm">
        <w:r>
          <w:rPr>
            <w:rFonts w:ascii="Arial" w:cs="Arial" w:eastAsia="Arial" w:hAnsi="Arial"/>
            <w:color w:val="1D4ED8"/>
            <w:sz w:val="24"/>
            <w:szCs w:val="24"/>
            <w:u w:val="single"/>
          </w:rPr>
          <w:t xml:space="preserve">343</w:t>
        </w:r>
      </w:hyperlink>
      <w:r>
        <w:rPr>
          <w:rFonts w:ascii="Arial" w:cs="Arial" w:eastAsia="Arial" w:hAnsi="Arial"/>
          <w:sz w:val="24"/>
          <w:szCs w:val="24"/>
        </w:rPr>
        <w:t xml:space="preserve">, частями 2, 3, 4 </w:t>
      </w:r>
      <w:hyperlink w:history="1" r:id="rIdeqamra8tq3bjom4vuecim">
        <w:r>
          <w:rPr>
            <w:rFonts w:ascii="Arial" w:cs="Arial" w:eastAsia="Arial" w:hAnsi="Arial"/>
            <w:color w:val="1D4ED8"/>
            <w:sz w:val="24"/>
            <w:szCs w:val="24"/>
            <w:u w:val="single"/>
          </w:rPr>
          <w:t xml:space="preserve">статьи 344</w:t>
        </w:r>
      </w:hyperlink>
      <w:r>
        <w:rPr>
          <w:rFonts w:ascii="Arial" w:cs="Arial" w:eastAsia="Arial" w:hAnsi="Arial"/>
          <w:sz w:val="24"/>
          <w:szCs w:val="24"/>
        </w:rPr>
        <w:t xml:space="preserve">, частями 2, 3 </w:t>
      </w:r>
      <w:hyperlink w:history="1" r:id="rIdwe7j9hupqijgwbfjz8pp-">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статьями </w:t>
      </w:r>
      <w:hyperlink w:history="1" r:id="rId5u57ogibfjeypy_jkaoji">
        <w:r>
          <w:rPr>
            <w:rFonts w:ascii="Arial" w:cs="Arial" w:eastAsia="Arial" w:hAnsi="Arial"/>
            <w:color w:val="1D4ED8"/>
            <w:sz w:val="24"/>
            <w:szCs w:val="24"/>
            <w:u w:val="single"/>
          </w:rPr>
          <w:t xml:space="preserve">346</w:t>
        </w:r>
      </w:hyperlink>
      <w:r>
        <w:rPr>
          <w:rFonts w:ascii="Arial" w:cs="Arial" w:eastAsia="Arial" w:hAnsi="Arial"/>
          <w:sz w:val="24"/>
          <w:szCs w:val="24"/>
        </w:rPr>
        <w:t xml:space="preserve">-</w:t>
      </w:r>
      <w:hyperlink w:history="1" r:id="rIdqqwo-brauapbx9qqx3cob">
        <w:r>
          <w:rPr>
            <w:rFonts w:ascii="Arial" w:cs="Arial" w:eastAsia="Arial" w:hAnsi="Arial"/>
            <w:color w:val="1D4ED8"/>
            <w:sz w:val="24"/>
            <w:szCs w:val="24"/>
            <w:u w:val="single"/>
          </w:rPr>
          <w:t xml:space="preserve">348</w:t>
        </w:r>
      </w:hyperlink>
      <w:r>
        <w:rPr>
          <w:rFonts w:ascii="Arial" w:cs="Arial" w:eastAsia="Arial" w:hAnsi="Arial"/>
          <w:sz w:val="24"/>
          <w:szCs w:val="24"/>
        </w:rPr>
        <w:t xml:space="preserve"> Уголовного кодекса Кыргызской Республики, независимо от того, погашена или снята судимость;</w:t>
      </w:r>
    </w:p>
    <w:p>
      <w:pPr>
        <w:spacing w:after="120"/>
        <w:ind w:firstLine="567"/>
        <w:jc w:val="both"/>
      </w:pPr>
      <w:r>
        <w:rPr>
          <w:rFonts w:ascii="Arial" w:cs="Arial" w:eastAsia="Arial" w:hAnsi="Arial"/>
          <w:sz w:val="24"/>
          <w:szCs w:val="24"/>
        </w:rPr>
        <w:t xml:space="preserve">- в отношении которого уголовное дело по преступлениям, указанным в абзаце третьем настоящего пункта, прекращено по нереабилитирующим основаниям, предусмотренным пунктами 7, 9, 11-13 части 1 </w:t>
      </w:r>
      <w:hyperlink w:history="1" r:id="rIdt0jzf6n6bomulpgagmwke">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 имеющее гражданство другого государства.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cbm9e9irepkaysgmozbmo">
        <w:r>
          <w:rPr>
            <w:rFonts w:ascii="Arial" w:cs="Arial" w:eastAsia="Arial" w:hAnsi="Arial"/>
            <w:i/>
            <w:iCs/>
            <w:color w:val="1D4ED8"/>
            <w:sz w:val="24"/>
            <w:szCs w:val="24"/>
            <w:u w:val="single"/>
          </w:rPr>
          <w:t xml:space="preserve">29 января 2025 года УП № 26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 Установить, что:</w:t>
      </w:r>
    </w:p>
    <w:p>
      <w:pPr>
        <w:spacing w:after="60"/>
        <w:ind w:firstLine="567"/>
        <w:jc w:val="both"/>
      </w:pPr>
      <w:r>
        <w:rPr>
          <w:rFonts w:ascii="Arial" w:cs="Arial" w:eastAsia="Arial" w:hAnsi="Arial"/>
          <w:sz w:val="24"/>
          <w:szCs w:val="24"/>
        </w:rPr>
        <w:t xml:space="preserve">1) служащие имеют право на:</w:t>
      </w:r>
    </w:p>
    <w:p>
      <w:pPr>
        <w:spacing w:after="60"/>
        <w:ind w:firstLine="567"/>
        <w:jc w:val="both"/>
      </w:pPr>
      <w:r>
        <w:rPr>
          <w:rFonts w:ascii="Arial" w:cs="Arial" w:eastAsia="Arial" w:hAnsi="Arial"/>
          <w:sz w:val="24"/>
          <w:szCs w:val="24"/>
        </w:rPr>
        <w:t xml:space="preserve">- своевременную и в полном объеме выплату заработной платы в соответствии с результатами труда;</w:t>
      </w:r>
    </w:p>
    <w:p>
      <w:pPr>
        <w:spacing w:after="60"/>
        <w:ind w:firstLine="567"/>
        <w:jc w:val="both"/>
      </w:pPr>
      <w:r>
        <w:rPr>
          <w:rFonts w:ascii="Arial" w:cs="Arial" w:eastAsia="Arial" w:hAnsi="Arial"/>
          <w:sz w:val="24"/>
          <w:szCs w:val="24"/>
        </w:rPr>
        <w:t xml:space="preserve">-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w:t>
      </w:r>
    </w:p>
    <w:p>
      <w:pPr>
        <w:spacing w:after="60"/>
        <w:ind w:firstLine="567"/>
        <w:jc w:val="both"/>
      </w:pPr>
      <w:r>
        <w:rPr>
          <w:rFonts w:ascii="Arial" w:cs="Arial" w:eastAsia="Arial" w:hAnsi="Arial"/>
          <w:sz w:val="24"/>
          <w:szCs w:val="24"/>
        </w:rPr>
        <w:t xml:space="preserve">- предоставление льгот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создание безопасных для здоровья условий труда;</w:t>
      </w:r>
    </w:p>
    <w:p>
      <w:pPr>
        <w:spacing w:after="60"/>
        <w:ind w:firstLine="567"/>
        <w:jc w:val="both"/>
      </w:pPr>
      <w:r>
        <w:rPr>
          <w:rFonts w:ascii="Arial" w:cs="Arial" w:eastAsia="Arial" w:hAnsi="Arial"/>
          <w:sz w:val="24"/>
          <w:szCs w:val="24"/>
        </w:rPr>
        <w:t xml:space="preserve">-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60"/>
        <w:ind w:firstLine="567"/>
        <w:jc w:val="both"/>
      </w:pPr>
      <w:r>
        <w:rPr>
          <w:rFonts w:ascii="Arial" w:cs="Arial" w:eastAsia="Arial" w:hAnsi="Arial"/>
          <w:sz w:val="24"/>
          <w:szCs w:val="24"/>
        </w:rPr>
        <w:t xml:space="preserve">При стаже работы на государственной и муниципальной службе по совокупности более 5, 10, 15 и 20 лет продолжительность ежегодного оплачиваемого отпуска увеличивается соответственно на 2, 4, 6 и 8 календарных дней.</w:t>
      </w:r>
    </w:p>
    <w:p>
      <w:pPr>
        <w:spacing w:after="120"/>
        <w:ind w:firstLine="567"/>
        <w:jc w:val="both"/>
      </w:pPr>
      <w:r>
        <w:rPr>
          <w:rFonts w:ascii="Arial" w:cs="Arial" w:eastAsia="Arial" w:hAnsi="Arial"/>
          <w:sz w:val="24"/>
          <w:szCs w:val="24"/>
        </w:rPr>
        <w:t xml:space="preserve">По желанию отпуск может быть предоставлен частями. При этом одна часть должна быть не менее 14 календарных дней. Вся сумма оплачиваемого отпуска выплачивается при оформлении отпуска независимо от того, был ли отпуск оформлен на весь период или частично.</w:t>
      </w:r>
    </w:p>
    <w:p>
      <w:pPr>
        <w:spacing w:after="60"/>
        <w:ind w:firstLine="567"/>
        <w:jc w:val="both"/>
      </w:pPr>
      <w:r>
        <w:rPr>
          <w:rFonts w:ascii="Arial" w:cs="Arial" w:eastAsia="Arial" w:hAnsi="Arial"/>
          <w:sz w:val="24"/>
          <w:szCs w:val="24"/>
        </w:rPr>
        <w:t xml:space="preserve">Служащий не может быть отозван из отпуска досрочно без его письменного согласия. За неиспользованные дни отпуска компенсационная сумма выплачивается пропорционально неиспользованным дням отпуска;</w:t>
      </w:r>
    </w:p>
    <w:p>
      <w:pPr>
        <w:spacing w:after="60"/>
        <w:ind w:firstLine="567"/>
        <w:jc w:val="both"/>
      </w:pPr>
      <w:r>
        <w:rPr>
          <w:rFonts w:ascii="Arial" w:cs="Arial" w:eastAsia="Arial" w:hAnsi="Arial"/>
          <w:sz w:val="24"/>
          <w:szCs w:val="24"/>
        </w:rPr>
        <w:t xml:space="preserve">2) при переводе служащих на службу в другую местность им выплачивается компенсация расходов на переезд и временное жилье на новом месте в размере и порядке, установленных Президентом Кыргызской Республики;</w:t>
      </w:r>
    </w:p>
    <w:p>
      <w:pPr>
        <w:spacing w:after="60"/>
        <w:ind w:firstLine="567"/>
        <w:jc w:val="both"/>
      </w:pPr>
      <w:r>
        <w:rPr>
          <w:rFonts w:ascii="Arial" w:cs="Arial" w:eastAsia="Arial" w:hAnsi="Arial"/>
          <w:sz w:val="24"/>
          <w:szCs w:val="24"/>
        </w:rPr>
        <w:t xml:space="preserve">3)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сложных условиях, в нерабочие праздничные и выходные дни;</w:t>
      </w:r>
    </w:p>
    <w:p>
      <w:pPr>
        <w:spacing w:after="60"/>
        <w:ind w:firstLine="567"/>
        <w:jc w:val="both"/>
      </w:pPr>
      <w:r>
        <w:rPr>
          <w:rFonts w:ascii="Arial" w:cs="Arial" w:eastAsia="Arial" w:hAnsi="Arial"/>
          <w:sz w:val="24"/>
          <w:szCs w:val="24"/>
        </w:rPr>
        <w:t xml:space="preserve">4) служащие подлежат медицинскому страхованию. Все расходы служащего, связанные с консультацией, обследованием, лечением и реабилитацией, подлежат компенсации в пределах медицинского страхования;</w:t>
      </w:r>
    </w:p>
    <w:p>
      <w:pPr>
        <w:spacing w:after="60"/>
        <w:ind w:firstLine="567"/>
        <w:jc w:val="both"/>
      </w:pPr>
      <w:r>
        <w:rPr>
          <w:rFonts w:ascii="Arial" w:cs="Arial" w:eastAsia="Arial" w:hAnsi="Arial"/>
          <w:sz w:val="24"/>
          <w:szCs w:val="24"/>
        </w:rPr>
        <w:t xml:space="preserve">5) совместно проживающие со служащим члены его семьи пользуются медицинским обслуживанием в государственных и муниципальных учреждениях здравоохранения на условиях и в порядке,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6)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7)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единовременная компенсация в размере пятисот тысяч сомов;</w:t>
      </w:r>
    </w:p>
    <w:p>
      <w:pPr>
        <w:spacing w:after="60"/>
        <w:ind w:firstLine="567"/>
        <w:jc w:val="both"/>
      </w:pPr>
      <w:r>
        <w:rPr>
          <w:rFonts w:ascii="Arial" w:cs="Arial" w:eastAsia="Arial" w:hAnsi="Arial"/>
          <w:sz w:val="24"/>
          <w:szCs w:val="24"/>
        </w:rPr>
        <w:t xml:space="preserve">8) в случае убийства служащего или наступления смерти в связи с профессиональной болезнью или нанесением увечья здоровью его семье выплачивается единовременная компенсация в размере одного миллиона сомов;</w:t>
      </w:r>
    </w:p>
    <w:p>
      <w:pPr>
        <w:spacing w:after="60"/>
        <w:ind w:firstLine="567"/>
        <w:jc w:val="both"/>
      </w:pPr>
      <w:r>
        <w:rPr>
          <w:rFonts w:ascii="Arial" w:cs="Arial" w:eastAsia="Arial" w:hAnsi="Arial"/>
          <w:sz w:val="24"/>
          <w:szCs w:val="24"/>
        </w:rPr>
        <w:t xml:space="preserve">9) служащий, освобожденный от должности в связи с ликвидацией, реорганизацией государственного органа, органа местного самоуправления или сокращением штата, получает компенсацию в размере трех среднемесячных заработных плат, за исключением случаев, предусмотренных законодательством Кыргызской Республики. При этом компенсация не выплачивается в случае перехода на другую работу.</w:t>
      </w:r>
    </w:p>
    <w:p>
      <w:pPr>
        <w:spacing w:after="60"/>
        <w:ind w:firstLine="567"/>
        <w:jc w:val="both"/>
      </w:pPr>
      <w:r>
        <w:rPr>
          <w:rFonts w:ascii="Arial" w:cs="Arial" w:eastAsia="Arial" w:hAnsi="Arial"/>
          <w:sz w:val="24"/>
          <w:szCs w:val="24"/>
        </w:rPr>
        <w:t xml:space="preserve">Средняя заработная плата по ранее занимаемой должности выплачивается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60"/>
        <w:ind w:firstLine="567"/>
        <w:jc w:val="both"/>
      </w:pPr>
      <w:r>
        <w:rPr>
          <w:rFonts w:ascii="Arial" w:cs="Arial" w:eastAsia="Arial" w:hAnsi="Arial"/>
          <w:sz w:val="24"/>
          <w:szCs w:val="24"/>
        </w:rPr>
        <w:t xml:space="preserve">10) при погребении умершего (погибшего) служащего или лица, умершего после прекращения службы,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btw5mn7wenboyuyiyb4j4">
        <w:r>
          <w:rPr>
            <w:rFonts w:ascii="Arial" w:cs="Arial" w:eastAsia="Arial" w:hAnsi="Arial"/>
            <w:i/>
            <w:iCs/>
            <w:color w:val="1D4ED8"/>
            <w:sz w:val="24"/>
            <w:szCs w:val="24"/>
            <w:u w:val="single"/>
          </w:rPr>
          <w:t xml:space="preserve">29 января 2025 года УП № 26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5pcong5wdvg3zs6mgnvb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политической государственной службе в Кыргызской Республике" от 25 мая 2005 года № 200;</w:t>
      </w:r>
    </w:p>
    <w:p>
      <w:pPr>
        <w:spacing w:after="60"/>
        <w:ind w:firstLine="567"/>
        <w:jc w:val="both"/>
      </w:pPr>
      <w:r>
        <w:rPr>
          <w:rFonts w:ascii="Arial" w:cs="Arial" w:eastAsia="Arial" w:hAnsi="Arial"/>
          <w:sz w:val="24"/>
          <w:szCs w:val="24"/>
        </w:rPr>
        <w:t xml:space="preserve">2) </w:t>
      </w:r>
      <w:hyperlink w:history="1" r:id="rIdukkez_ajm8ijctzhwcxr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w:t>
      </w:r>
      <w:hyperlink w:history="1" r:id="rIdv-heuovqztirqipimjo6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исполняющего обязанности Президента Кыргызской Республики "О политической государственной службе в Кыргызской Республике" от 25 мая 2005 года" от 18 ноября 2013 года № 217.</w:t>
      </w:r>
    </w:p>
    <w:p>
      <w:pPr>
        <w:spacing w:after="60"/>
        <w:ind w:firstLine="567"/>
        <w:jc w:val="both"/>
      </w:pPr>
      <w:r>
        <w:rPr>
          <w:rFonts w:ascii="Arial" w:cs="Arial" w:eastAsia="Arial" w:hAnsi="Arial"/>
          <w:sz w:val="24"/>
          <w:szCs w:val="24"/>
        </w:rPr>
        <w:t xml:space="preserve">5. Кабинету Министров Кыргызской Республики внести предложения по регулированию вопросов, вытекающих из настоящего Указа, на уровне законодательного акта Кыргызской Республики.</w:t>
      </w:r>
    </w:p>
    <w:p>
      <w:pPr>
        <w:spacing w:after="60"/>
        <w:ind w:firstLine="567"/>
        <w:jc w:val="both"/>
      </w:pPr>
      <w:r>
        <w:rPr>
          <w:rFonts w:ascii="Arial" w:cs="Arial" w:eastAsia="Arial" w:hAnsi="Arial"/>
          <w:sz w:val="24"/>
          <w:szCs w:val="24"/>
        </w:rPr>
        <w:t xml:space="preserve">6.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Настоящий Указ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 апреля 2024 года № 25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7umklgysvbr1rawb3_l3">
      <w:r>
        <w:rPr>
          <w:rFonts w:ascii="Arial" w:cs="Arial" w:eastAsia="Arial" w:hAnsi="Arial"/>
          <w:color w:val="132D3F"/>
          <w:sz w:val="16"/>
          <w:szCs w:val="16"/>
          <w:u w:val="single"/>
        </w:rPr>
        <w:t xml:space="preserve">dalil.kg/document/230003608</w:t>
      </w:r>
    </w:hyperlink>
  </w:p>
  <w:p>
    <w:pPr>
      <w:spacing w:after="0" w:before="40"/>
      <w:jc w:val="center"/>
    </w:pPr>
    <w:hyperlink w:history="1" r:id="rIdwv5edxagj3qtvz13yj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ocyjs4rcuookcezkcez" Type="http://schemas.openxmlformats.org/officeDocument/2006/relationships/hyperlink" Target="https://dalil.kg/document/230028028" TargetMode="External"/><Relationship Id="rId3q_p1faylsyft0dv2t4ye" Type="http://schemas.openxmlformats.org/officeDocument/2006/relationships/hyperlink" Target="https://dalil.kg/document/230021700" TargetMode="External"/><Relationship Id="rIdnn0jjbzn7datanpgdf64c" Type="http://schemas.openxmlformats.org/officeDocument/2006/relationships/hyperlink" Target="https://dalil.kg/document/112213#st_71" TargetMode="External"/><Relationship Id="rIdiscrou5la8ezbudf4kzgg" Type="http://schemas.openxmlformats.org/officeDocument/2006/relationships/hyperlink" Target="https://dalil.kg/document/112213" TargetMode="External"/><Relationship Id="rId_btkl0e36pvb1gp6jjjfz" Type="http://schemas.openxmlformats.org/officeDocument/2006/relationships/hyperlink" Target="https://dalil.kg/document/112213" TargetMode="External"/><Relationship Id="rIdvuhwhrod-7lz3bnb9whix" Type="http://schemas.openxmlformats.org/officeDocument/2006/relationships/hyperlink" Target="https://dalil.kg/document/112213" TargetMode="External"/><Relationship Id="rId36bbzsm5eddqv6pigjfbp" Type="http://schemas.openxmlformats.org/officeDocument/2006/relationships/hyperlink" Target="https://dalil.kg/document/112213" TargetMode="External"/><Relationship Id="rId7k8itapgzixgzqjhtbwf6" Type="http://schemas.openxmlformats.org/officeDocument/2006/relationships/hyperlink" Target="https://dalil.kg/document/112213" TargetMode="External"/><Relationship Id="rIdkrn5dyf9zlu2hapccu7g_" Type="http://schemas.openxmlformats.org/officeDocument/2006/relationships/hyperlink" Target="https://dalil.kg/document/230021700" TargetMode="External"/><Relationship Id="rIdtboeo7dmcct2n7xo3zcdm" Type="http://schemas.openxmlformats.org/officeDocument/2006/relationships/hyperlink" Target="https://dalil.kg/document/112309#st_336" TargetMode="External"/><Relationship Id="rIdraed29ef2hn8l9-xx9tkm" Type="http://schemas.openxmlformats.org/officeDocument/2006/relationships/hyperlink" Target="https://dalil.kg/document/112309#st_343" TargetMode="External"/><Relationship Id="rIdeqamra8tq3bjom4vuecim" Type="http://schemas.openxmlformats.org/officeDocument/2006/relationships/hyperlink" Target="https://dalil.kg/document/112309#st_344" TargetMode="External"/><Relationship Id="rIdwe7j9hupqijgwbfjz8pp-" Type="http://schemas.openxmlformats.org/officeDocument/2006/relationships/hyperlink" Target="https://dalil.kg/document/112309#st_345" TargetMode="External"/><Relationship Id="rId5u57ogibfjeypy_jkaoji" Type="http://schemas.openxmlformats.org/officeDocument/2006/relationships/hyperlink" Target="https://dalil.kg/document/112309#st_346" TargetMode="External"/><Relationship Id="rIdqqwo-brauapbx9qqx3cob" Type="http://schemas.openxmlformats.org/officeDocument/2006/relationships/hyperlink" Target="https://dalil.kg/document/112309#st_348" TargetMode="External"/><Relationship Id="rIdt0jzf6n6bomulpgagmwke" Type="http://schemas.openxmlformats.org/officeDocument/2006/relationships/hyperlink" Target="https://dalil.kg/document/112308#st_27" TargetMode="External"/><Relationship Id="rIdcbm9e9irepkaysgmozbmo" Type="http://schemas.openxmlformats.org/officeDocument/2006/relationships/hyperlink" Target="https://dalil.kg/document/230021700" TargetMode="External"/><Relationship Id="rIdbtw5mn7wenboyuyiyb4j4" Type="http://schemas.openxmlformats.org/officeDocument/2006/relationships/hyperlink" Target="https://dalil.kg/document/230021700" TargetMode="External"/><Relationship Id="rId5pcong5wdvg3zs6mgnvbv" Type="http://schemas.openxmlformats.org/officeDocument/2006/relationships/hyperlink" Target="https://dalil.kg/document/4279" TargetMode="External"/><Relationship Id="rIdukkez_ajm8ijctzhwcxrc" Type="http://schemas.openxmlformats.org/officeDocument/2006/relationships/hyperlink" Target="https://dalil.kg/document/61521" TargetMode="External"/><Relationship Id="rIdv-heuovqztirqipimjo6h" Type="http://schemas.openxmlformats.org/officeDocument/2006/relationships/hyperlink" Target="https://dalil.kg/document/427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7umklgysvbr1rawb3_l3" Type="http://schemas.openxmlformats.org/officeDocument/2006/relationships/hyperlink" Target="https://dalil.kg/document/230003608" TargetMode="External"/><Relationship Id="rIdwv5edxagj3qtvz13yj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2026-09-27T09:56:11.801Z</dcterms:created>
  <dcterms:modified xsi:type="dcterms:W3CDTF">2026-09-27T09:56:11.801Z</dcterms:modified>
</cp:coreProperties>
</file>

<file path=docProps/custom.xml><?xml version="1.0" encoding="utf-8"?>
<Properties xmlns="http://schemas.openxmlformats.org/officeDocument/2006/custom-properties" xmlns:vt="http://schemas.openxmlformats.org/officeDocument/2006/docPropsVTypes"/>
</file>