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12 апреля 2024 года № 176</w:t>
      </w:r>
    </w:p>
    <w:p>
      <w:pPr>
        <w:spacing w:after="400" w:before="4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 мерах государственной поддержки развития дошкольного образования" от 14 августа 2023 года № 415</w:t>
      </w:r>
    </w:p>
    <w:p>
      <w:pPr>
        <w:spacing w:after="60"/>
        <w:ind w:firstLine="567"/>
        <w:jc w:val="both"/>
      </w:pPr>
      <w:r>
        <w:rPr>
          <w:rFonts w:ascii="Arial" w:cs="Arial" w:eastAsia="Arial" w:hAnsi="Arial"/>
          <w:sz w:val="24"/>
          <w:szCs w:val="24"/>
        </w:rPr>
        <w:t xml:space="preserve">В целях реализации </w:t>
      </w:r>
      <w:hyperlink w:history="1" r:id="rIdi9299sbf9aa4eyh66bo6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в соответствии со статьями </w:t>
      </w:r>
      <w:hyperlink w:history="1" r:id="rIdgqw4kyslrz7r1gcatb_hh">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_km5zzuvzpjluqhhrlwtd">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k_3z30czq-kbrrzigpbq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государственной поддержки развития дошкольного образования" от 14 августа 2023 года № 415 следующие изменения:</w:t>
      </w:r>
    </w:p>
    <w:p>
      <w:pPr>
        <w:spacing w:after="60"/>
        <w:ind w:firstLine="567"/>
        <w:jc w:val="both"/>
      </w:pPr>
      <w:r>
        <w:rPr>
          <w:rFonts w:ascii="Arial" w:cs="Arial" w:eastAsia="Arial" w:hAnsi="Arial"/>
          <w:sz w:val="24"/>
          <w:szCs w:val="24"/>
        </w:rPr>
        <w:t xml:space="preserve">1) в подпункте 2 пункта 3 слова "коммерческими банками" заменить словами "открытыми акционерными обществами "РСК Банк", "Айыл Банк", "Керемет Банк" (далее - банки)";</w:t>
      </w:r>
    </w:p>
    <w:p>
      <w:pPr>
        <w:spacing w:after="60"/>
        <w:ind w:firstLine="567"/>
        <w:jc w:val="both"/>
      </w:pPr>
      <w:r>
        <w:rPr>
          <w:rFonts w:ascii="Arial" w:cs="Arial" w:eastAsia="Arial" w:hAnsi="Arial"/>
          <w:sz w:val="24"/>
          <w:szCs w:val="24"/>
        </w:rPr>
        <w:t xml:space="preserve">2) в подпункте 2 пункта 4 слова "коммерческими банками" заменить словом "банками";</w:t>
      </w:r>
    </w:p>
    <w:p>
      <w:pPr>
        <w:spacing w:after="60"/>
        <w:ind w:firstLine="567"/>
        <w:jc w:val="both"/>
      </w:pPr>
      <w:r>
        <w:rPr>
          <w:rFonts w:ascii="Arial" w:cs="Arial" w:eastAsia="Arial" w:hAnsi="Arial"/>
          <w:sz w:val="24"/>
          <w:szCs w:val="24"/>
        </w:rPr>
        <w:t xml:space="preserve">3) </w:t>
      </w:r>
      <w:hyperlink w:history="1" r:id="rId3jpv9wlao7nyksuhauaa0">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"Льготное кредитование для развития дошкольного образования", утвержденный вышеуказанным постановлением, изложить в редакции согласно </w:t>
      </w:r>
      <w:hyperlink w:history="1" r:id="rIdfzcws3u0-mqvc5grpbsoa">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официальном государственном газете "Эркин Тоо" от 19 апреля 2024 года № 30</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b/>
          <w:bCs/>
          <w:sz w:val="24"/>
          <w:szCs w:val="24"/>
        </w:rPr>
        <w:t xml:space="preserve">    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8"/>
          <w:szCs w:val="28"/>
        </w:rPr>
        <w:t xml:space="preserve">Проект
 "Льготное кредитование для развития дошкольного образования"</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Целью проекта "Льготное кредитование для развития дошкольного образования" (далее - Проект) является оказание государственной поддержки субъектам предпринимательства и физическим лицам Кыргызской Республики.</w:t>
      </w:r>
    </w:p>
    <w:p>
      <w:pPr>
        <w:spacing w:after="60"/>
        <w:ind w:firstLine="567"/>
        <w:jc w:val="both"/>
      </w:pPr>
      <w:r>
        <w:rPr>
          <w:rFonts w:ascii="Arial" w:cs="Arial" w:eastAsia="Arial" w:hAnsi="Arial"/>
          <w:sz w:val="24"/>
          <w:szCs w:val="24"/>
        </w:rPr>
        <w:t xml:space="preserve">2. Срок реализации Проекта - 60 месяцев.</w:t>
      </w:r>
    </w:p>
    <w:p>
      <w:pPr>
        <w:spacing w:after="60"/>
        <w:ind w:firstLine="567"/>
        <w:jc w:val="both"/>
      </w:pPr>
      <w:r>
        <w:rPr>
          <w:rFonts w:ascii="Arial" w:cs="Arial" w:eastAsia="Arial" w:hAnsi="Arial"/>
          <w:sz w:val="24"/>
          <w:szCs w:val="24"/>
        </w:rPr>
        <w:t xml:space="preserve">3. Источники финансирования: республиканский бюджет Кыргызской Республики на 2024-2025 и последующие годы, средства открытых акционерных обществ "РСК Банк", "Айыл Банк", "Керемет Банк" (далее - банки).</w:t>
      </w:r>
    </w:p>
    <w:p>
      <w:pPr>
        <w:spacing w:after="60"/>
        <w:ind w:firstLine="567"/>
        <w:jc w:val="both"/>
      </w:pPr>
      <w:r>
        <w:rPr>
          <w:rFonts w:ascii="Arial" w:cs="Arial" w:eastAsia="Arial" w:hAnsi="Arial"/>
          <w:sz w:val="24"/>
          <w:szCs w:val="24"/>
        </w:rPr>
        <w:t xml:space="preserve">4. Начало реализации Проекта - январь 2024 года.</w:t>
      </w:r>
    </w:p>
    <w:p>
      <w:pPr>
        <w:spacing w:after="60"/>
        <w:ind w:firstLine="567"/>
        <w:jc w:val="both"/>
      </w:pPr>
      <w:r>
        <w:rPr>
          <w:rFonts w:ascii="Arial" w:cs="Arial" w:eastAsia="Arial" w:hAnsi="Arial"/>
          <w:sz w:val="24"/>
          <w:szCs w:val="24"/>
        </w:rPr>
        <w:t xml:space="preserve">5. Ответственные исполнители: Министерство финансов Кыргызской Республики, Министерство образования и науки Кыргызской Республики, Государственное агентство архитектуры, строительства и жилищно-коммунального хозяйства при Кабинете Министров Кыргызской Республики (по согласованию), банки (по согласованию), участвующие в реализации Проекта.</w:t>
      </w:r>
    </w:p>
    <w:p>
      <w:pPr>
        <w:spacing w:after="60"/>
        <w:ind w:firstLine="567"/>
        <w:jc w:val="both"/>
      </w:pPr>
      <w:r>
        <w:rPr>
          <w:rFonts w:ascii="Arial" w:cs="Arial" w:eastAsia="Arial" w:hAnsi="Arial"/>
          <w:sz w:val="24"/>
          <w:szCs w:val="24"/>
        </w:rPr>
        <w:t xml:space="preserve">6. Описание Проекта. В целях расширения сети дошкольных образовательных организаций и обеспечения широкого охвата детей дошкольным образованием в рамках Проекта в течение 2024 года финансовые средства банков будут предоставляться субъектам предпринимательства и физическим лицам для строительства новых зданий дошкольных образовательных организаций, проведения капитального ремонта/реконструкции уже имеющихся зданий, а также закупки основных средств по льготным процентным ставкам.</w:t>
      </w:r>
    </w:p>
    <w:p>
      <w:pPr>
        <w:spacing w:after="60"/>
        <w:ind w:firstLine="567"/>
        <w:jc w:val="both"/>
      </w:pPr>
      <w:r>
        <w:rPr>
          <w:rFonts w:ascii="Arial" w:cs="Arial" w:eastAsia="Arial" w:hAnsi="Arial"/>
          <w:sz w:val="24"/>
          <w:szCs w:val="24"/>
        </w:rPr>
        <w:t xml:space="preserve">7. Кабинет Министров Кыргызской Республики субсидирует расходы банков из средств республиканского бюджета на 2024-2028 годы за размещение кредитов по льготным процентным ставкам.</w:t>
      </w:r>
    </w:p>
    <w:p>
      <w:pPr>
        <w:spacing w:after="60"/>
        <w:ind w:firstLine="567"/>
        <w:jc w:val="both"/>
      </w:pPr>
      <w:r>
        <w:rPr>
          <w:rFonts w:ascii="Arial" w:cs="Arial" w:eastAsia="Arial" w:hAnsi="Arial"/>
          <w:sz w:val="24"/>
          <w:szCs w:val="24"/>
        </w:rPr>
        <w:t xml:space="preserve">8. Порядок предоставления кредитов определяется согласно внутренним нормативным документам банков и нормативным правовым актам Национального банка Кыргызской Республики.</w:t>
      </w:r>
    </w:p>
    <w:p>
      <w:pPr>
        <w:spacing w:after="60"/>
        <w:ind w:firstLine="567"/>
        <w:jc w:val="both"/>
      </w:pPr>
      <w:r>
        <w:rPr>
          <w:rFonts w:ascii="Arial" w:cs="Arial" w:eastAsia="Arial" w:hAnsi="Arial"/>
          <w:sz w:val="24"/>
          <w:szCs w:val="24"/>
        </w:rPr>
        <w:t xml:space="preserve">9. Все риски по возврату выданных кредитов несут банки, отбор заемщиков производится в соответствии с их внутренними процедурами из списка заемщиков, одобренного Министерством образования и науки Кыргызской Республики.</w:t>
      </w:r>
    </w:p>
    <w:p>
      <w:pPr>
        <w:spacing w:after="60"/>
        <w:ind w:firstLine="567"/>
        <w:jc w:val="both"/>
      </w:pPr>
      <w:r>
        <w:rPr>
          <w:rFonts w:ascii="Arial" w:cs="Arial" w:eastAsia="Arial" w:hAnsi="Arial"/>
          <w:sz w:val="24"/>
          <w:szCs w:val="24"/>
        </w:rPr>
        <w:t xml:space="preserve">10. Банки вправе осуществлять финансирование строительства зданий дошкольных образовательных организаций, проведения капитального ремонта/реконструкции, а также приобретения и обновления основных средств в рамках настоящего Проекта с участием гарантий открытого акционерного общества "Гарантийный фонд".</w:t>
      </w:r>
    </w:p>
    <w:p>
      <w:pPr>
        <w:spacing w:after="120"/>
        <w:ind w:firstLine="567"/>
        <w:jc w:val="both"/>
      </w:pPr>
      <w:r>
        <w:rPr>
          <w:rFonts w:ascii="Arial" w:cs="Arial" w:eastAsia="Arial" w:hAnsi="Arial"/>
          <w:sz w:val="24"/>
          <w:szCs w:val="24"/>
        </w:rPr>
        <w:t xml:space="preserve">11. Банки, участвующие в Проекте, могут кредитовать заемщиков на следующих основных общих условиях:</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
        <w:gridCol w:w="2447"/>
        <w:gridCol w:w="7454"/>
      </w:tblGrid>
      <w:tr>
        <w:tc>
          <w:tcPr>
            <w:tcW w:type="dxa" w:w="27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4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льготного кредита</w:t>
            </w:r>
          </w:p>
        </w:tc>
        <w:tc>
          <w:tcPr>
            <w:tcW w:type="dxa" w:w="7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w:t>
            </w:r>
          </w:p>
        </w:tc>
        <w:tc>
          <w:tcPr>
            <w:tcW w:type="dxa" w:w="7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государственной финансовой поддержки субъектам предпринимательства и физическим лицам в строительстве зданий дошкольных образовательных организаций, проведении капитального ремонта/реконструкции, приобретении и обновлении основных средств</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и срок кредитования, субсидирования в сомах</w:t>
            </w:r>
          </w:p>
        </w:tc>
        <w:tc>
          <w:tcPr>
            <w:tcW w:type="dxa" w:w="7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и срок кредита на:</w:t>
            </w:r>
            <w:r>
              <w:rPr>
                <w:rFonts w:ascii="Arial" w:cs="Arial" w:eastAsia="Arial" w:hAnsi="Arial"/>
                <w:sz w:val="24"/>
                <w:szCs w:val="24"/>
              </w:rPr>
              <w:t xml:space="preserve">1) строительство зданий дошкольных образовательных организаций на сумму до 70,0 млн. сомов, сроком на 60 месяцев;</w:t>
            </w:r>
            <w:r>
              <w:rPr>
                <w:rFonts w:ascii="Arial" w:cs="Arial" w:eastAsia="Arial" w:hAnsi="Arial"/>
                <w:sz w:val="24"/>
                <w:szCs w:val="24"/>
              </w:rPr>
              <w:t xml:space="preserve">2) проведение капитального ремонта/реконструкции (с учетом основных средств) на сумму до 50,0 млн. сомов, сроком на 60 месяцев;</w:t>
            </w:r>
            <w:r>
              <w:rPr>
                <w:rFonts w:ascii="Arial" w:cs="Arial" w:eastAsia="Arial" w:hAnsi="Arial"/>
                <w:sz w:val="24"/>
                <w:szCs w:val="24"/>
              </w:rPr>
              <w:t xml:space="preserve">3) приобретение и обновление основных средств на сумму до 10,0 млн. сомов, сроком на 36 месяцев</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Залоговое обеспечение</w:t>
            </w:r>
          </w:p>
        </w:tc>
        <w:tc>
          <w:tcPr>
            <w:tcW w:type="dxa" w:w="7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Предметом залогового обеспечения может быть:</w:t>
            </w:r>
            <w:r>
              <w:rPr>
                <w:rFonts w:ascii="Arial" w:cs="Arial" w:eastAsia="Arial" w:hAnsi="Arial"/>
                <w:sz w:val="24"/>
                <w:szCs w:val="24"/>
              </w:rPr>
              <w:t xml:space="preserve">- земельный участок, находящийся в собственности заемщика;</w:t>
            </w:r>
            <w:r>
              <w:rPr>
                <w:rFonts w:ascii="Arial" w:cs="Arial" w:eastAsia="Arial" w:hAnsi="Arial"/>
                <w:sz w:val="24"/>
                <w:szCs w:val="24"/>
              </w:rPr>
              <w:t xml:space="preserve">- недвижимое имущество;</w:t>
            </w:r>
            <w:r>
              <w:rPr>
                <w:rFonts w:ascii="Arial" w:cs="Arial" w:eastAsia="Arial" w:hAnsi="Arial"/>
                <w:sz w:val="24"/>
                <w:szCs w:val="24"/>
              </w:rPr>
              <w:t xml:space="preserve">- в случае нехватки залогового обеспечения возможно принятие гарантии ОАО "Гарантийный фонд" на условиях соглашений, заключенных между банком и ОАО "Гарантийный фонд"</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выдачи</w:t>
            </w:r>
          </w:p>
        </w:tc>
        <w:tc>
          <w:tcPr>
            <w:tcW w:type="dxa" w:w="7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Предоставленная смета на строительство или проведение капитального ремонта/реконструкции должна быть разделена на этапы проведения работ:</w:t>
            </w:r>
            <w:r>
              <w:rPr>
                <w:rFonts w:ascii="Arial" w:cs="Arial" w:eastAsia="Arial" w:hAnsi="Arial"/>
                <w:sz w:val="24"/>
                <w:szCs w:val="24"/>
              </w:rPr>
              <w:t xml:space="preserve">- фундамент;</w:t>
            </w:r>
            <w:r>
              <w:rPr>
                <w:rFonts w:ascii="Arial" w:cs="Arial" w:eastAsia="Arial" w:hAnsi="Arial"/>
                <w:sz w:val="24"/>
                <w:szCs w:val="24"/>
              </w:rPr>
              <w:t xml:space="preserve">- возведение стен и кровельные работы;</w:t>
            </w:r>
            <w:r>
              <w:rPr>
                <w:rFonts w:ascii="Arial" w:cs="Arial" w:eastAsia="Arial" w:hAnsi="Arial"/>
                <w:sz w:val="24"/>
                <w:szCs w:val="24"/>
              </w:rPr>
              <w:t xml:space="preserve">- подведение коммуникаций;</w:t>
            </w:r>
            <w:r>
              <w:rPr>
                <w:rFonts w:ascii="Arial" w:cs="Arial" w:eastAsia="Arial" w:hAnsi="Arial"/>
                <w:sz w:val="24"/>
                <w:szCs w:val="24"/>
              </w:rPr>
              <w:t xml:space="preserve">- отделочные работы и т.д., согласно которым заемщик обязан предоставлять отчет об освоении и целевом использовании заемных средств. В случае неисполнения заемщиком данных обязательств банк имеет право приостановить выдачу кредита и потребовать досрочного погашения кредита</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требования к строительству</w:t>
            </w:r>
          </w:p>
        </w:tc>
        <w:tc>
          <w:tcPr>
            <w:tcW w:type="dxa" w:w="7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 заемщика:</w:t>
            </w:r>
            <w:r>
              <w:rPr>
                <w:rFonts w:ascii="Arial" w:cs="Arial" w:eastAsia="Arial" w:hAnsi="Arial"/>
                <w:sz w:val="24"/>
                <w:szCs w:val="24"/>
              </w:rPr>
              <w:t xml:space="preserve">- собственного земельного участка, или участка, предоставленного в аренду сроком на 49 лет;</w:t>
            </w:r>
            <w:r>
              <w:rPr>
                <w:rFonts w:ascii="Arial" w:cs="Arial" w:eastAsia="Arial" w:hAnsi="Arial"/>
                <w:sz w:val="24"/>
                <w:szCs w:val="24"/>
              </w:rPr>
              <w:t xml:space="preserve">- бизнес-плана, отражающего концепцию дошкольной образовательной организации, формат, проектную мощность, основные средства, персонал, условия пребывания детей, одобренного Министерством образования и науки Кыргызской Республики;</w:t>
            </w:r>
            <w:r>
              <w:rPr>
                <w:rFonts w:ascii="Arial" w:cs="Arial" w:eastAsia="Arial" w:hAnsi="Arial"/>
                <w:sz w:val="24"/>
                <w:szCs w:val="24"/>
              </w:rPr>
              <w:t xml:space="preserve">- проектно-сметной документации здания, соответствующей санитарно-эпидемиологическим требованиям к организации режима работы в дошкольных образовательных организациях и требованиям пожарной безопасности, а также требованиям нормативно-технической документации (наличие положительного заключения экспертизы уполномоченным органом).</w:t>
            </w:r>
            <w:r>
              <w:rPr>
                <w:rFonts w:ascii="Arial" w:cs="Arial" w:eastAsia="Arial" w:hAnsi="Arial"/>
                <w:sz w:val="24"/>
                <w:szCs w:val="24"/>
              </w:rPr>
              <w:t xml:space="preserve">Проект сметы строительных работ должен быть согласован с управлением по градостроительству и архитектуре местной государственной администрации или органа местного самоуправления, при этом составитель сметы должен иметь квалификационный сертификат.</w:t>
            </w:r>
            <w:r>
              <w:rPr>
                <w:rFonts w:ascii="Arial" w:cs="Arial" w:eastAsia="Arial" w:hAnsi="Arial"/>
                <w:sz w:val="24"/>
                <w:szCs w:val="24"/>
              </w:rPr>
              <w:t xml:space="preserve">Максимальная стоимость строительства здания за 1 кв.м с учетом работ и затраченных строительных материалов не должна превышать 63 тыс. сом.</w:t>
            </w:r>
            <w:r>
              <w:rPr>
                <w:rFonts w:ascii="Arial" w:cs="Arial" w:eastAsia="Arial" w:hAnsi="Arial"/>
                <w:sz w:val="24"/>
                <w:szCs w:val="24"/>
              </w:rPr>
              <w:t xml:space="preserve">Максимальный срок строительства - не более 18 месяцев с момента выдачи первого транша на строительство</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требования к проведению капитального ремонта/реконструкции</w:t>
            </w:r>
          </w:p>
        </w:tc>
        <w:tc>
          <w:tcPr>
            <w:tcW w:type="dxa" w:w="7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 заемщика:</w:t>
            </w:r>
            <w:r>
              <w:rPr>
                <w:rFonts w:ascii="Arial" w:cs="Arial" w:eastAsia="Arial" w:hAnsi="Arial"/>
                <w:sz w:val="24"/>
                <w:szCs w:val="24"/>
              </w:rPr>
              <w:t xml:space="preserve">- бизнес-плана, отражающего концепцию дошкольной образовательной организации, формат, проектную мощность, основные средства, персонал, условия пребывания детей, одобренного Министерством образования и науки Кыргызской Республики;</w:t>
            </w:r>
            <w:r>
              <w:rPr>
                <w:rFonts w:ascii="Arial" w:cs="Arial" w:eastAsia="Arial" w:hAnsi="Arial"/>
                <w:sz w:val="24"/>
                <w:szCs w:val="24"/>
              </w:rPr>
              <w:t xml:space="preserve">- проектно-сметной документации здания, соответствующей санитарно-эпидемиологическим требованиям к организации режима работы в дошкольных образовательных организациях и требованиям пожарной безопасности, а также требованиям нормативно-технической документации на проведение строительно-монтажных работ по капитальному ремонту/реконструкции здания</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требования к приобретению и обновлению основных средств</w:t>
            </w:r>
          </w:p>
        </w:tc>
        <w:tc>
          <w:tcPr>
            <w:tcW w:type="dxa" w:w="7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наличие у заемщика счет-фактур, накладных и других документов, подтверждающих факт приобретения или обновления</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Субъекты льготного кредитования</w:t>
            </w:r>
          </w:p>
        </w:tc>
        <w:tc>
          <w:tcPr>
            <w:tcW w:type="dxa" w:w="7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 Кыргызской Республики, не являющийся инсайдером или аффилированным лицом финансово-кредитных организаций.</w:t>
            </w:r>
            <w:r>
              <w:rPr>
                <w:rFonts w:ascii="Arial" w:cs="Arial" w:eastAsia="Arial" w:hAnsi="Arial"/>
                <w:sz w:val="24"/>
                <w:szCs w:val="24"/>
              </w:rPr>
              <w:t xml:space="preserve">2. Субъект предпринимательства/физическое лицо, надлежащим образом зарегистрированное во всех государственных органах Кыргызской Республики, включая Государственную налоговую службу при Министерстве финансов Кыргызской Республики и Социальный фонд Кыргызской Республики при Кабинете Министров Кыргызской Республики, а также получившее одобрение на участие в Проекте от Министерства образования и науки Кыргызской Республики.</w:t>
            </w:r>
            <w:r>
              <w:rPr>
                <w:rFonts w:ascii="Arial" w:cs="Arial" w:eastAsia="Arial" w:hAnsi="Arial"/>
                <w:sz w:val="24"/>
                <w:szCs w:val="24"/>
              </w:rPr>
              <w:t xml:space="preserve">3. Наличие собственных средств в размере до 30% от сметной стоимости строительства объекта.</w:t>
            </w:r>
            <w:r>
              <w:rPr>
                <w:rFonts w:ascii="Arial" w:cs="Arial" w:eastAsia="Arial" w:hAnsi="Arial"/>
                <w:sz w:val="24"/>
                <w:szCs w:val="24"/>
              </w:rPr>
              <w:t xml:space="preserve">4. Заемщик должен быть платежеспособным, доходы должны соответствовать внутренней нормативной документации банка</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Конечная процентная ставка</w:t>
            </w:r>
          </w:p>
        </w:tc>
        <w:tc>
          <w:tcPr>
            <w:tcW w:type="dxa" w:w="7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Установлена ставка в размере 10%.</w:t>
            </w:r>
            <w:r>
              <w:rPr>
                <w:rFonts w:ascii="Arial" w:cs="Arial" w:eastAsia="Arial" w:hAnsi="Arial"/>
                <w:sz w:val="24"/>
                <w:szCs w:val="24"/>
              </w:rPr>
              <w:t xml:space="preserve">При пролонгации или реструктуризации кредита свыше установленного срока пользования кредитом процентная ставка по кредиту устанавливается в размере действующих на дату реструктуризации ставок по кредитам, выдаваемым банком на аналогичные цели</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Штрафные санкции</w:t>
            </w:r>
          </w:p>
        </w:tc>
        <w:tc>
          <w:tcPr>
            <w:tcW w:type="dxa" w:w="7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обнаружения нецелевого использования кредитных средств, к заемщикам применяются финансовые санкции путем изменения процентных ставок по кредиту на 25 процентов годовых, со дня получения кредита или досрочного погашения кредита в течение 30 календарных дней со дня обнаружения</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При этом банки вправе устанавливать дополнительные требования к заемщикам.</w:t>
      </w:r>
    </w:p>
    <w:p>
      <w:pPr>
        <w:spacing w:after="60"/>
        <w:ind w:firstLine="567"/>
        <w:jc w:val="both"/>
      </w:pPr>
      <w:r>
        <w:rPr>
          <w:rFonts w:ascii="Arial" w:cs="Arial" w:eastAsia="Arial" w:hAnsi="Arial"/>
          <w:sz w:val="24"/>
          <w:szCs w:val="24"/>
        </w:rPr>
        <w:t xml:space="preserve">12. Залоговым имуществом также может являться строящееся здание дошкольной образовательной организации, земельный участок, находящийся в собственности заемщика, в период и после строительства.</w:t>
      </w:r>
    </w:p>
    <w:p>
      <w:pPr>
        <w:spacing w:after="60"/>
        <w:ind w:firstLine="567"/>
        <w:jc w:val="both"/>
      </w:pPr>
      <w:r>
        <w:rPr>
          <w:rFonts w:ascii="Arial" w:cs="Arial" w:eastAsia="Arial" w:hAnsi="Arial"/>
          <w:sz w:val="24"/>
          <w:szCs w:val="24"/>
        </w:rPr>
        <w:t xml:space="preserve">13. В случае недостаточного залогового обеспечения у потенциальных заемщиков последние вправе обратиться в открытое акционерное общество "Гарантийный фонд" с заявлением о получении гарантии на условиях, заключенных между банком и Гарантийным фондом.</w:t>
      </w:r>
    </w:p>
    <w:p>
      <w:pPr>
        <w:spacing w:after="200" w:before="200"/>
        <w:jc w:val="center"/>
      </w:pPr>
      <w:r>
        <w:rPr>
          <w:rFonts w:ascii="Arial" w:cs="Arial" w:eastAsia="Arial" w:hAnsi="Arial"/>
          <w:b/>
          <w:bCs/>
          <w:sz w:val="32"/>
          <w:szCs w:val="32"/>
        </w:rPr>
        <w:t xml:space="preserve">Глава 2. Описание реализации Проекта</w:t>
      </w:r>
    </w:p>
    <w:p>
      <w:pPr>
        <w:spacing w:after="60"/>
        <w:ind w:firstLine="567"/>
        <w:jc w:val="both"/>
      </w:pPr>
      <w:r>
        <w:rPr>
          <w:rFonts w:ascii="Arial" w:cs="Arial" w:eastAsia="Arial" w:hAnsi="Arial"/>
          <w:sz w:val="24"/>
          <w:szCs w:val="24"/>
        </w:rPr>
        <w:t xml:space="preserve">14. Банки, изъявившие желание участвовать в Проекте, в 15-дневный срок после вступления в силу настоящего постановления должны подать в Министерство финансов Кыргызской Республики заявку на участие в реализации Проекта с обязательным указанием предлагаемой ставки субсидирования и объема кредитования, с разбивкой по областям республики, при этом ставка субсидирования не должна превышать 11,41 процента годовых.</w:t>
      </w:r>
    </w:p>
    <w:p>
      <w:pPr>
        <w:spacing w:after="60"/>
        <w:ind w:firstLine="567"/>
        <w:jc w:val="both"/>
      </w:pPr>
      <w:r>
        <w:rPr>
          <w:rFonts w:ascii="Arial" w:cs="Arial" w:eastAsia="Arial" w:hAnsi="Arial"/>
          <w:sz w:val="24"/>
          <w:szCs w:val="24"/>
        </w:rPr>
        <w:t xml:space="preserve">15. В целях надлежащего информирования населения о реализации Проекта Министерство образования и науки Кыргызской Республики, Министерство финансов Кыргызской Республики, банки, участвующие в его реализации, должны опубликовать в средствах массовой информации, на информационных стендах и официальных сайтах информацию об условиях кредитования, а также о периоде/времени, с которого начинается прием заявок на получение кредита по данному Проекту.</w:t>
      </w:r>
    </w:p>
    <w:p>
      <w:pPr>
        <w:spacing w:after="60"/>
        <w:ind w:firstLine="567"/>
        <w:jc w:val="both"/>
      </w:pPr>
      <w:r>
        <w:rPr>
          <w:rFonts w:ascii="Arial" w:cs="Arial" w:eastAsia="Arial" w:hAnsi="Arial"/>
          <w:sz w:val="24"/>
          <w:szCs w:val="24"/>
        </w:rPr>
        <w:t xml:space="preserve">16. Для получения субсидий в рамках Проекта банки ежеквартально представляют в Министерство финансов Кыргызской Республики заявку на субсидирование с указанием фактической суммы кредитования за прошедший квартал.</w:t>
      </w:r>
    </w:p>
    <w:p>
      <w:pPr>
        <w:spacing w:after="60"/>
        <w:ind w:firstLine="567"/>
        <w:jc w:val="both"/>
      </w:pPr>
      <w:r>
        <w:rPr>
          <w:rFonts w:ascii="Arial" w:cs="Arial" w:eastAsia="Arial" w:hAnsi="Arial"/>
          <w:sz w:val="24"/>
          <w:szCs w:val="24"/>
        </w:rPr>
        <w:t xml:space="preserve">17. 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квартал для перечисления банкам транша субсидий.</w:t>
      </w:r>
    </w:p>
    <w:p>
      <w:pPr>
        <w:spacing w:after="60"/>
        <w:ind w:firstLine="567"/>
        <w:jc w:val="both"/>
      </w:pPr>
      <w:r>
        <w:rPr>
          <w:rFonts w:ascii="Arial" w:cs="Arial" w:eastAsia="Arial" w:hAnsi="Arial"/>
          <w:sz w:val="24"/>
          <w:szCs w:val="24"/>
        </w:rPr>
        <w:t xml:space="preserve">18. Транши субсидий переводятся на расчетные счета банков Министерством финансов Кыргызской Республики из средств республиканского бюджета, в соответствии с внутренними актами Министерства финансов Кыргызской Республики, до окончания соответствующего месяца.</w:t>
      </w:r>
    </w:p>
    <w:p>
      <w:pPr>
        <w:spacing w:after="60"/>
        <w:ind w:firstLine="567"/>
        <w:jc w:val="both"/>
      </w:pPr>
      <w:r>
        <w:rPr>
          <w:rFonts w:ascii="Arial" w:cs="Arial" w:eastAsia="Arial" w:hAnsi="Arial"/>
          <w:sz w:val="24"/>
          <w:szCs w:val="24"/>
        </w:rPr>
        <w:t xml:space="preserve">19. Надзор за деятельностью банков осуществляется Национальным банком Кыргызской Республики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20. Банки еженедельно предоставляют Министерству финансов Кыргызской Республики и Министерству образования и науки Кыргызской Республики информацию о выданных кредитах.</w:t>
      </w:r>
    </w:p>
    <w:p>
      <w:pPr>
        <w:spacing w:after="200" w:before="200"/>
        <w:jc w:val="center"/>
      </w:pPr>
      <w:r>
        <w:rPr>
          <w:rFonts w:ascii="Arial" w:cs="Arial" w:eastAsia="Arial" w:hAnsi="Arial"/>
          <w:b/>
          <w:bCs/>
          <w:sz w:val="32"/>
          <w:szCs w:val="32"/>
        </w:rPr>
        <w:t xml:space="preserve">Глава 3. Расчет субсидий</w:t>
      </w:r>
    </w:p>
    <w:p>
      <w:pPr>
        <w:spacing w:after="60"/>
        <w:ind w:firstLine="567"/>
        <w:jc w:val="both"/>
      </w:pPr>
      <w:r>
        <w:rPr>
          <w:rFonts w:ascii="Arial" w:cs="Arial" w:eastAsia="Arial" w:hAnsi="Arial"/>
          <w:sz w:val="24"/>
          <w:szCs w:val="24"/>
        </w:rPr>
        <w:t xml:space="preserve">21. Для покрытия расходов банков при предоставлении субсидий по процентным ставкам Кабинетом Министров Кыргызской Республики принимаются следующие расчетные коэффициенты субсидирования от ежемесячного объема кредитования банков согласно данным Национального банка Кыргызской Республики на 2022 год:</w:t>
      </w:r>
    </w:p>
    <w:p>
      <w:pPr>
        <w:spacing w:after="60"/>
        <w:ind w:firstLine="567"/>
        <w:jc w:val="both"/>
      </w:pPr>
      <w:r>
        <w:rPr>
          <w:rFonts w:ascii="Arial" w:cs="Arial" w:eastAsia="Arial" w:hAnsi="Arial"/>
          <w:sz w:val="24"/>
          <w:szCs w:val="24"/>
        </w:rPr>
        <w:t xml:space="preserve">1) ставка субсидирования составляет 11,41 процента годовых независимо от размера процентной ставки;</w:t>
      </w:r>
    </w:p>
    <w:p>
      <w:pPr>
        <w:spacing w:after="60"/>
        <w:ind w:firstLine="567"/>
        <w:jc w:val="both"/>
      </w:pPr>
      <w:r>
        <w:rPr>
          <w:rFonts w:ascii="Arial" w:cs="Arial" w:eastAsia="Arial" w:hAnsi="Arial"/>
          <w:sz w:val="24"/>
          <w:szCs w:val="24"/>
        </w:rPr>
        <w:t xml:space="preserve">2) для кредитов, выдаваемых сроком на 60 месяцев, расчетный коэффициент субсидирования составляет 31,84. Из них часть субсидий перечисляется в 2024 году по расчетному коэффициенту 10,28; часть - в 2025 году по расчетному коэффициенту 9,84; часть - в 2026 году по расчетному коэффициенту 6,44; часть - в 2027 году по расчетному коэффициенту 3,91; часть - в 2028 году по расчетному коэффициенту 1,37;</w:t>
      </w:r>
    </w:p>
    <w:p>
      <w:pPr>
        <w:spacing w:after="60"/>
        <w:ind w:firstLine="567"/>
        <w:jc w:val="both"/>
      </w:pPr>
      <w:r>
        <w:rPr>
          <w:rFonts w:ascii="Arial" w:cs="Arial" w:eastAsia="Arial" w:hAnsi="Arial"/>
          <w:sz w:val="24"/>
          <w:szCs w:val="24"/>
        </w:rPr>
        <w:t xml:space="preserve">3) для кредитов, выдаваемых сроком на 36 месяцев, расчетный коэффициент субсидирования составляет 20,44. Из них часть субсидий перечисляется в 2024 году по расчетному коэффициенту 10,14; часть - в 2025 году по расчетному коэффициенту 7,83; часть - в 2026 году по расчетному коэффициенту 2,47.</w:t>
      </w:r>
    </w:p>
    <w:p>
      <w:pPr>
        <w:spacing w:after="60"/>
        <w:ind w:firstLine="567"/>
        <w:jc w:val="both"/>
      </w:pPr>
      <w:r>
        <w:rPr>
          <w:rFonts w:ascii="Arial" w:cs="Arial" w:eastAsia="Arial" w:hAnsi="Arial"/>
          <w:sz w:val="24"/>
          <w:szCs w:val="24"/>
        </w:rPr>
        <w:t xml:space="preserve">22. Расчет коэффициентов субсидий по Проекту в разбивке по срокам и месяцам для применения начисления субсидий по выданным кредитам и для пересчета (возврата) субсидий в случае досрочных погашений кредитов предоставляется со стороны Министерства финансов Кыргызской Республики.</w:t>
      </w:r>
    </w:p>
    <w:p>
      <w:pPr>
        <w:spacing w:after="60"/>
        <w:ind w:firstLine="567"/>
        <w:jc w:val="both"/>
      </w:pPr>
      <w:r>
        <w:rPr>
          <w:rFonts w:ascii="Arial" w:cs="Arial" w:eastAsia="Arial" w:hAnsi="Arial"/>
          <w:sz w:val="24"/>
          <w:szCs w:val="24"/>
        </w:rPr>
        <w:t xml:space="preserve">23. Ежегодная сумма субсидирования рассчитывается Министерством финансов Кыргызской Республики. Коэффициент субсидирования может колебаться в зависимости от срока выдачи кредита. При необходимости Министерство финансов Кыргызской Республики может менять ставку субсидирования.</w:t>
      </w:r>
    </w:p>
    <w:p>
      <w:pPr>
        <w:spacing w:after="200" w:before="200"/>
        <w:jc w:val="center"/>
      </w:pPr>
      <w:r>
        <w:rPr>
          <w:rFonts w:ascii="Arial" w:cs="Arial" w:eastAsia="Arial" w:hAnsi="Arial"/>
          <w:b/>
          <w:bCs/>
          <w:sz w:val="32"/>
          <w:szCs w:val="32"/>
        </w:rPr>
        <w:t xml:space="preserve">Глава 4. Перечисление субсидий</w:t>
      </w:r>
    </w:p>
    <w:p>
      <w:pPr>
        <w:spacing w:after="60"/>
        <w:ind w:firstLine="567"/>
        <w:jc w:val="both"/>
      </w:pPr>
      <w:r>
        <w:rPr>
          <w:rFonts w:ascii="Arial" w:cs="Arial" w:eastAsia="Arial" w:hAnsi="Arial"/>
          <w:sz w:val="24"/>
          <w:szCs w:val="24"/>
        </w:rPr>
        <w:t xml:space="preserve">24. Суммы субсидий, определяемые согласно расчетной формуле, перечисляются Министерством финансов Кыргызской Республики из средств республиканского бюджета Кыргызской Республики банкам пятью траншами, в том числе:</w:t>
      </w:r>
    </w:p>
    <w:p>
      <w:pPr>
        <w:spacing w:after="60"/>
        <w:ind w:firstLine="567"/>
        <w:jc w:val="both"/>
      </w:pPr>
      <w:r>
        <w:rPr>
          <w:rFonts w:ascii="Arial" w:cs="Arial" w:eastAsia="Arial" w:hAnsi="Arial"/>
          <w:sz w:val="24"/>
          <w:szCs w:val="24"/>
        </w:rPr>
        <w:t xml:space="preserve">1) первый транш - в конце каждого года на сумму фактически выданных банками кредитных средств за прошедший год;</w:t>
      </w:r>
    </w:p>
    <w:p>
      <w:pPr>
        <w:spacing w:after="60"/>
        <w:ind w:firstLine="567"/>
        <w:jc w:val="both"/>
      </w:pPr>
      <w:r>
        <w:rPr>
          <w:rFonts w:ascii="Arial" w:cs="Arial" w:eastAsia="Arial" w:hAnsi="Arial"/>
          <w:sz w:val="24"/>
          <w:szCs w:val="24"/>
        </w:rPr>
        <w:t xml:space="preserve">2) второй транш - по истечении 365 дней с момента выдачи первого транша;</w:t>
      </w:r>
    </w:p>
    <w:p>
      <w:pPr>
        <w:spacing w:after="60"/>
        <w:ind w:firstLine="567"/>
        <w:jc w:val="both"/>
      </w:pPr>
      <w:r>
        <w:rPr>
          <w:rFonts w:ascii="Arial" w:cs="Arial" w:eastAsia="Arial" w:hAnsi="Arial"/>
          <w:sz w:val="24"/>
          <w:szCs w:val="24"/>
        </w:rPr>
        <w:t xml:space="preserve">3) третий транш - по истечении 365 дней с момента выдачи второго транша;</w:t>
      </w:r>
    </w:p>
    <w:p>
      <w:pPr>
        <w:spacing w:after="60"/>
        <w:ind w:firstLine="567"/>
        <w:jc w:val="both"/>
      </w:pPr>
      <w:r>
        <w:rPr>
          <w:rFonts w:ascii="Arial" w:cs="Arial" w:eastAsia="Arial" w:hAnsi="Arial"/>
          <w:sz w:val="24"/>
          <w:szCs w:val="24"/>
        </w:rPr>
        <w:t xml:space="preserve">4) четвертый транш - по истечении 365 дней с момента выдачи третьего транша;</w:t>
      </w:r>
    </w:p>
    <w:p>
      <w:pPr>
        <w:spacing w:after="60"/>
        <w:ind w:firstLine="567"/>
        <w:jc w:val="both"/>
      </w:pPr>
      <w:r>
        <w:rPr>
          <w:rFonts w:ascii="Arial" w:cs="Arial" w:eastAsia="Arial" w:hAnsi="Arial"/>
          <w:sz w:val="24"/>
          <w:szCs w:val="24"/>
        </w:rPr>
        <w:t xml:space="preserve">5) пятый транш - по истечении 365 дней с момента выдачи четвертого транша.</w:t>
      </w:r>
    </w:p>
    <w:p>
      <w:pPr>
        <w:spacing w:after="60"/>
        <w:ind w:firstLine="567"/>
        <w:jc w:val="both"/>
      </w:pPr>
      <w:r>
        <w:rPr>
          <w:rFonts w:ascii="Arial" w:cs="Arial" w:eastAsia="Arial" w:hAnsi="Arial"/>
          <w:sz w:val="24"/>
          <w:szCs w:val="24"/>
        </w:rPr>
        <w:t xml:space="preserve">25. Банки обязаны по истечении года со дня получения первого транша, а также по истечении года со дня получения остальных траншей представлять в Министерство финансов Кыргызской Республики подробную информацию о досрочных погашениях с указанием суммы, даты и количества заемщиков, производивших досрочные погашения. Для получения второго и последующих траншей субсидий банки обязаны представлять заявки за минусом досрочно погашенных кредитов. В случае если после получения очередного транша имеются досрочно погашенные кредиты, субсидии по которым были получены, банку необходимо произвести возврат субсидии по таким кредитам в Министерство финансов Кыргызской Республики.</w:t>
      </w:r>
    </w:p>
    <w:p>
      <w:pPr>
        <w:spacing w:after="200" w:before="200"/>
        <w:jc w:val="center"/>
      </w:pPr>
      <w:r>
        <w:rPr>
          <w:rFonts w:ascii="Arial" w:cs="Arial" w:eastAsia="Arial" w:hAnsi="Arial"/>
          <w:b/>
          <w:bCs/>
          <w:sz w:val="32"/>
          <w:szCs w:val="32"/>
        </w:rPr>
        <w:t xml:space="preserve">Глава 5. Риски и угрозы</w:t>
      </w:r>
    </w:p>
    <w:p>
      <w:pPr>
        <w:spacing w:after="60"/>
        <w:ind w:firstLine="567"/>
        <w:jc w:val="both"/>
      </w:pPr>
      <w:r>
        <w:rPr>
          <w:rFonts w:ascii="Arial" w:cs="Arial" w:eastAsia="Arial" w:hAnsi="Arial"/>
          <w:sz w:val="24"/>
          <w:szCs w:val="24"/>
        </w:rPr>
        <w:t xml:space="preserve">26. При реализации Проекта имеется риск нецелевого использования средств получателями льготных кредитов.</w:t>
      </w:r>
    </w:p>
    <w:p>
      <w:pPr>
        <w:spacing w:after="60"/>
        <w:ind w:firstLine="567"/>
        <w:jc w:val="both"/>
      </w:pPr>
      <w:r>
        <w:rPr>
          <w:rFonts w:ascii="Arial" w:cs="Arial" w:eastAsia="Arial" w:hAnsi="Arial"/>
          <w:sz w:val="24"/>
          <w:szCs w:val="24"/>
        </w:rPr>
        <w:t xml:space="preserve">27. Минимизация указанного риска осуществляется банками в установленном порядке.</w:t>
      </w:r>
    </w:p>
    <w:p>
      <w:pPr>
        <w:spacing w:after="60"/>
        <w:ind w:firstLine="567"/>
        <w:jc w:val="both"/>
      </w:pPr>
      <w:r>
        <w:rPr>
          <w:rFonts w:ascii="Arial" w:cs="Arial" w:eastAsia="Arial" w:hAnsi="Arial"/>
          <w:sz w:val="24"/>
          <w:szCs w:val="24"/>
        </w:rPr>
        <w:t xml:space="preserve">28. При обнаружении факта нецелевого использования кредитных средств банки должны составить соответствующий акт и потребовать от заемщика досрочного погашения остатка кредитных средств в течение 30 календарных дней или установить процентные ставки в размере 25 процентов годовых со дня получения кредита. В этом случае банки обязуются вернуть Министерству финансов Кыргызской Республики полученные средства субсидий, кроме случаев досрочного погашения.</w:t>
      </w:r>
    </w:p>
    <w:p>
      <w:pPr>
        <w:spacing w:after="60"/>
        <w:ind w:firstLine="567"/>
        <w:jc w:val="both"/>
      </w:pPr>
      <w:r>
        <w:rPr>
          <w:rFonts w:ascii="Arial" w:cs="Arial" w:eastAsia="Arial" w:hAnsi="Arial"/>
          <w:sz w:val="24"/>
          <w:szCs w:val="24"/>
        </w:rPr>
        <w:t xml:space="preserve">29. При обнаружении факта нецелевого использования кредитных средств заемщиками на арендованном земельном участке земельный участок возвращается арендодателю в соответствии с </w:t>
      </w:r>
      <w:hyperlink w:history="1" r:id="rIdrf8mjk6igxq5c6cdwgec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z8h0i30ecygow6zf3qox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от 9 октября 2019 года № 535.</w:t>
      </w:r>
    </w:p>
    <w:p>
      <w:pPr>
        <w:spacing w:after="60"/>
        <w:ind w:firstLine="567"/>
        <w:jc w:val="both"/>
      </w:pPr>
      <w:r>
        <w:rPr>
          <w:rFonts w:ascii="Arial" w:cs="Arial" w:eastAsia="Arial" w:hAnsi="Arial"/>
          <w:sz w:val="24"/>
          <w:szCs w:val="24"/>
        </w:rPr>
        <w:t xml:space="preserve">30. В целях минимизации риска необоснованного получения субсидий банками:</w:t>
      </w:r>
    </w:p>
    <w:p>
      <w:pPr>
        <w:spacing w:after="60"/>
        <w:ind w:firstLine="567"/>
        <w:jc w:val="both"/>
      </w:pPr>
      <w:r>
        <w:rPr>
          <w:rFonts w:ascii="Arial" w:cs="Arial" w:eastAsia="Arial" w:hAnsi="Arial"/>
          <w:sz w:val="24"/>
          <w:szCs w:val="24"/>
        </w:rPr>
        <w:t xml:space="preserve">1) банки еженедельно предоставляют Министерству финансов Кыргызской Республики информацию о выданных кредитах;</w:t>
      </w:r>
    </w:p>
    <w:p>
      <w:pPr>
        <w:spacing w:after="60"/>
        <w:ind w:firstLine="567"/>
        <w:jc w:val="both"/>
      </w:pPr>
      <w:r>
        <w:rPr>
          <w:rFonts w:ascii="Arial" w:cs="Arial" w:eastAsia="Arial" w:hAnsi="Arial"/>
          <w:sz w:val="24"/>
          <w:szCs w:val="24"/>
        </w:rPr>
        <w:t xml:space="preserve">2) при обнаружении факта нецелевого использования банками субсидируемых кредитных средств Министерство финансов Кыргызской Республики вправе в одностороннем порядке приостановить дальнейшее субсидирование с восстановлением ранее перечисленных траншей субсидий по таким кредитам.</w:t>
      </w:r>
    </w:p>
    <w:p>
      <w:pPr>
        <w:spacing w:after="60"/>
        <w:ind w:firstLine="567"/>
        <w:jc w:val="both"/>
      </w:pPr>
      <w:r>
        <w:rPr>
          <w:rFonts w:ascii="Arial" w:cs="Arial" w:eastAsia="Arial" w:hAnsi="Arial"/>
          <w:sz w:val="24"/>
          <w:szCs w:val="24"/>
        </w:rPr>
        <w:t xml:space="preserve">31. В целях минимизации риска по субсидированию досрочно погашенных кредитов из республиканского бюджета, в случае досрочного погашения кредитов заемщиками, Министерство финансов Кыргызской Республики предусматривает в соглашениях о сотрудничестве с банками механизм расчета, корректировки и возврата части полученных субсидий из республиканского бюджета по досрочно погашенным кредитам.</w:t>
      </w:r>
    </w:p>
    <w:p>
      <w:pPr>
        <w:spacing w:after="60"/>
        <w:ind w:firstLine="567"/>
        <w:jc w:val="both"/>
      </w:pPr>
      <w:r>
        <w:rPr>
          <w:rFonts w:ascii="Arial" w:cs="Arial" w:eastAsia="Arial" w:hAnsi="Arial"/>
          <w:sz w:val="24"/>
          <w:szCs w:val="24"/>
        </w:rPr>
        <w:t xml:space="preserve">32. Риск неполного исполнения обязательств со стороны Кабинета Министров Кыргызской Республики:</w:t>
      </w:r>
    </w:p>
    <w:p>
      <w:pPr>
        <w:spacing w:after="60"/>
        <w:ind w:firstLine="567"/>
        <w:jc w:val="both"/>
      </w:pPr>
      <w:r>
        <w:rPr>
          <w:rFonts w:ascii="Arial" w:cs="Arial" w:eastAsia="Arial" w:hAnsi="Arial"/>
          <w:sz w:val="24"/>
          <w:szCs w:val="24"/>
        </w:rPr>
        <w:t xml:space="preserve">1) в рамках Проекта Министерство финансов Кыргызской Республики до окончания соответствующего года перечисляет суммы первого транша субсидий из республиканского бюджета на расчетные счета банков согласно порядку перечисления субсидий;</w:t>
      </w:r>
    </w:p>
    <w:p>
      <w:pPr>
        <w:spacing w:after="60"/>
        <w:ind w:firstLine="567"/>
        <w:jc w:val="both"/>
      </w:pPr>
      <w:r>
        <w:rPr>
          <w:rFonts w:ascii="Arial" w:cs="Arial" w:eastAsia="Arial" w:hAnsi="Arial"/>
          <w:sz w:val="24"/>
          <w:szCs w:val="24"/>
        </w:rPr>
        <w:t xml:space="preserve">2) средства для выплаты второго и последующих траншей субсидий будут предусмотрены в проекте закона Кыргызской Республики о республиканском бюджете Кыргызской Республики на соответствующие годы.</w:t>
      </w:r>
    </w:p>
    <w:p>
      <w:pPr>
        <w:spacing w:after="60"/>
        <w:ind w:firstLine="567"/>
        <w:jc w:val="both"/>
      </w:pPr>
      <w:r>
        <w:rPr>
          <w:rFonts w:ascii="Arial" w:cs="Arial" w:eastAsia="Arial" w:hAnsi="Arial"/>
          <w:sz w:val="24"/>
          <w:szCs w:val="24"/>
        </w:rPr>
        <w:t xml:space="preserve">33. Риск неполной выборки кредитных средств. Для максимального вовлечения в Проект банков количество участников Проекта не ограничивается. Согласно Проекту ограничивается только совокупный объем кредитования в пределах средств республиканского бюджета, предусмотренных для реализации Проекта.</w:t>
      </w:r>
    </w:p>
    <w:p>
      <w:pPr>
        <w:spacing w:after="200" w:before="200"/>
        <w:jc w:val="center"/>
      </w:pPr>
      <w:r>
        <w:rPr>
          <w:rFonts w:ascii="Arial" w:cs="Arial" w:eastAsia="Arial" w:hAnsi="Arial"/>
          <w:b/>
          <w:bCs/>
          <w:sz w:val="32"/>
          <w:szCs w:val="32"/>
        </w:rPr>
        <w:t xml:space="preserve">Глава 6. Мониторинг целевого использования кредитных средств</w:t>
      </w:r>
    </w:p>
    <w:p>
      <w:pPr>
        <w:spacing w:after="60"/>
        <w:ind w:firstLine="567"/>
        <w:jc w:val="both"/>
      </w:pPr>
      <w:r>
        <w:rPr>
          <w:rFonts w:ascii="Arial" w:cs="Arial" w:eastAsia="Arial" w:hAnsi="Arial"/>
          <w:sz w:val="24"/>
          <w:szCs w:val="24"/>
        </w:rPr>
        <w:t xml:space="preserve">34. Мониторинг целевого использования кредитных средств будет осуществляться банками следующим образом:</w:t>
      </w:r>
    </w:p>
    <w:p>
      <w:pPr>
        <w:spacing w:after="60"/>
        <w:ind w:firstLine="567"/>
        <w:jc w:val="both"/>
      </w:pPr>
      <w:r>
        <w:rPr>
          <w:rFonts w:ascii="Arial" w:cs="Arial" w:eastAsia="Arial" w:hAnsi="Arial"/>
          <w:sz w:val="24"/>
          <w:szCs w:val="24"/>
        </w:rPr>
        <w:t xml:space="preserve">- в течение 18 месяцев с момента получения кредита заемщики должны представлять отчеты о целевом использовании кредитных средств с приложением документального подтверждения (контракты/договоры, счета-фактуры или накладные, платежные документы об оплате, и другие) произведенных расходов по кредиту.</w:t>
      </w:r>
    </w:p>
    <w:p>
      <w:pPr>
        <w:spacing w:after="60"/>
        <w:ind w:firstLine="567"/>
        <w:jc w:val="both"/>
      </w:pPr>
      <w:r>
        <w:rPr>
          <w:rFonts w:ascii="Arial" w:cs="Arial" w:eastAsia="Arial" w:hAnsi="Arial"/>
          <w:sz w:val="24"/>
          <w:szCs w:val="24"/>
        </w:rPr>
        <w:t xml:space="preserve">Документами, подтверждающими факт целевого использования кредита, являются:</w:t>
      </w:r>
    </w:p>
    <w:p>
      <w:pPr>
        <w:spacing w:after="60"/>
        <w:ind w:firstLine="567"/>
        <w:jc w:val="both"/>
      </w:pPr>
      <w:r>
        <w:rPr>
          <w:rFonts w:ascii="Arial" w:cs="Arial" w:eastAsia="Arial" w:hAnsi="Arial"/>
          <w:sz w:val="24"/>
          <w:szCs w:val="24"/>
        </w:rPr>
        <w:t xml:space="preserve">1) копии документов, подтверждающих факт оплаты материалов, необходимых для строительства (строительно-монтажных работ);</w:t>
      </w:r>
    </w:p>
    <w:p>
      <w:pPr>
        <w:spacing w:after="60"/>
        <w:ind w:firstLine="567"/>
        <w:jc w:val="both"/>
      </w:pPr>
      <w:r>
        <w:rPr>
          <w:rFonts w:ascii="Arial" w:cs="Arial" w:eastAsia="Arial" w:hAnsi="Arial"/>
          <w:sz w:val="24"/>
          <w:szCs w:val="24"/>
        </w:rPr>
        <w:t xml:space="preserve">2) копии документов, подтверждающих факт оплаты за приобретенные материалы, а также услуги (должны быть представлены вместе с отчетом об использовании средств);</w:t>
      </w:r>
    </w:p>
    <w:p>
      <w:pPr>
        <w:spacing w:after="60"/>
        <w:ind w:firstLine="567"/>
        <w:jc w:val="both"/>
      </w:pPr>
      <w:r>
        <w:rPr>
          <w:rFonts w:ascii="Arial" w:cs="Arial" w:eastAsia="Arial" w:hAnsi="Arial"/>
          <w:sz w:val="24"/>
          <w:szCs w:val="24"/>
        </w:rPr>
        <w:t xml:space="preserve">3) и другие документы, подтверждающие целевое использование кредитов.</w:t>
      </w:r>
    </w:p>
    <w:p>
      <w:pPr>
        <w:spacing w:after="60"/>
        <w:ind w:firstLine="567"/>
        <w:jc w:val="both"/>
      </w:pPr>
      <w:r>
        <w:rPr>
          <w:rFonts w:ascii="Arial" w:cs="Arial" w:eastAsia="Arial" w:hAnsi="Arial"/>
          <w:sz w:val="24"/>
          <w:szCs w:val="24"/>
        </w:rPr>
        <w:t xml:space="preserve">35. В целях проведения оценки эффективности использования кредитных средств (до и после выдачи кредита) банки совместно с Министерством образования и науки Кыргызской Республики, комиссионно с выездом на место, будут осуществлять мониторинг целевого использования заемщиками кредита по следующим основным показателям:</w:t>
      </w:r>
    </w:p>
    <w:p>
      <w:pPr>
        <w:spacing w:after="60"/>
        <w:ind w:firstLine="567"/>
        <w:jc w:val="both"/>
      </w:pPr>
      <w:r>
        <w:rPr>
          <w:rFonts w:ascii="Arial" w:cs="Arial" w:eastAsia="Arial" w:hAnsi="Arial"/>
          <w:sz w:val="24"/>
          <w:szCs w:val="24"/>
        </w:rPr>
        <w:t xml:space="preserve">- процент завершенности строительства/реконструкции или капитального ремонта (при строительстве, реконструкции/капитальном ремонте);</w:t>
      </w:r>
    </w:p>
    <w:p>
      <w:pPr>
        <w:spacing w:after="60"/>
        <w:ind w:firstLine="567"/>
        <w:jc w:val="both"/>
      </w:pPr>
      <w:r>
        <w:rPr>
          <w:rFonts w:ascii="Arial" w:cs="Arial" w:eastAsia="Arial" w:hAnsi="Arial"/>
          <w:sz w:val="24"/>
          <w:szCs w:val="24"/>
        </w:rPr>
        <w:t xml:space="preserve">- обновлены или приобретены основные средства (при приобретении или обновлении основных средств).</w:t>
      </w:r>
    </w:p>
    <w:p>
      <w:pPr>
        <w:spacing w:after="60"/>
        <w:ind w:firstLine="567"/>
        <w:jc w:val="both"/>
      </w:pPr>
      <w:r>
        <w:rPr>
          <w:rFonts w:ascii="Arial" w:cs="Arial" w:eastAsia="Arial" w:hAnsi="Arial"/>
          <w:sz w:val="24"/>
          <w:szCs w:val="24"/>
        </w:rPr>
        <w:t xml:space="preserve">По результатам мониторинга Министерством образования и науки Кыргызской Республики в двухнедельный срок оформляется отчет.</w:t>
      </w:r>
    </w:p>
    <w:p>
      <w:pPr>
        <w:spacing w:after="60"/>
        <w:ind w:firstLine="567"/>
        <w:jc w:val="both"/>
      </w:pPr>
      <w:r>
        <w:rPr>
          <w:rFonts w:ascii="Arial" w:cs="Arial" w:eastAsia="Arial" w:hAnsi="Arial"/>
          <w:sz w:val="24"/>
          <w:szCs w:val="24"/>
        </w:rPr>
        <w:t xml:space="preserve">36. При необходимости заемщиком за счет получаемых кредитных средств осуществляется авторский и технический надзор за ходом строительства или реконструкции.</w:t>
      </w:r>
    </w:p>
    <w:p>
      <w:pPr>
        <w:spacing w:after="200" w:before="200"/>
        <w:jc w:val="center"/>
      </w:pPr>
      <w:r>
        <w:rPr>
          <w:rFonts w:ascii="Arial" w:cs="Arial" w:eastAsia="Arial" w:hAnsi="Arial"/>
          <w:b/>
          <w:bCs/>
          <w:sz w:val="32"/>
          <w:szCs w:val="32"/>
        </w:rPr>
        <w:t xml:space="preserve">Глава 7. Оценка эффективности Проекта</w:t>
      </w:r>
    </w:p>
    <w:p>
      <w:pPr>
        <w:spacing w:after="60"/>
        <w:ind w:firstLine="567"/>
        <w:jc w:val="both"/>
      </w:pPr>
      <w:r>
        <w:rPr>
          <w:rFonts w:ascii="Arial" w:cs="Arial" w:eastAsia="Arial" w:hAnsi="Arial"/>
          <w:sz w:val="24"/>
          <w:szCs w:val="24"/>
        </w:rPr>
        <w:t xml:space="preserve">37. Заемщики обязаны:</w:t>
      </w:r>
    </w:p>
    <w:p>
      <w:pPr>
        <w:spacing w:after="60"/>
        <w:ind w:firstLine="567"/>
        <w:jc w:val="both"/>
      </w:pPr>
      <w:r>
        <w:rPr>
          <w:rFonts w:ascii="Arial" w:cs="Arial" w:eastAsia="Arial" w:hAnsi="Arial"/>
          <w:sz w:val="24"/>
          <w:szCs w:val="24"/>
        </w:rPr>
        <w:t xml:space="preserve">- после ввода в эксплуатацию здания дошкольной образовательной организации каждый год до дня погашения кредита предоставлять отчет в Министерство образования и науки Кыргызской Республики (целевое использование здания, окупаемость и т.д.);</w:t>
      </w:r>
    </w:p>
    <w:p>
      <w:pPr>
        <w:spacing w:after="60"/>
        <w:ind w:firstLine="567"/>
        <w:jc w:val="both"/>
      </w:pPr>
      <w:r>
        <w:rPr>
          <w:rFonts w:ascii="Arial" w:cs="Arial" w:eastAsia="Arial" w:hAnsi="Arial"/>
          <w:sz w:val="24"/>
          <w:szCs w:val="24"/>
        </w:rPr>
        <w:t xml:space="preserve">- использовать построенное, отремонтированное/реконструированное здание по целевому назначению после ввода в эксплуатацию сроком не менее 20 лет (заключается соглашение с Министерством образования и науки Кыргызской Республики).</w:t>
      </w:r>
    </w:p>
    <w:p>
      <w:pPr>
        <w:spacing w:after="60"/>
        <w:ind w:firstLine="567"/>
        <w:jc w:val="both"/>
      </w:pPr>
      <w:r>
        <w:rPr>
          <w:rFonts w:ascii="Arial" w:cs="Arial" w:eastAsia="Arial" w:hAnsi="Arial"/>
          <w:sz w:val="24"/>
          <w:szCs w:val="24"/>
        </w:rPr>
        <w:t xml:space="preserve">38. В целях оценки эффективности Проекта Министерством образования и науки Кыргызской Республики на ежегодной основе, комиссионно с выездом на место, осуществляется мониторинг по следующим основным показателям:</w:t>
      </w:r>
    </w:p>
    <w:p>
      <w:pPr>
        <w:spacing w:after="60"/>
        <w:ind w:firstLine="567"/>
        <w:jc w:val="both"/>
      </w:pPr>
      <w:r>
        <w:rPr>
          <w:rFonts w:ascii="Arial" w:cs="Arial" w:eastAsia="Arial" w:hAnsi="Arial"/>
          <w:sz w:val="24"/>
          <w:szCs w:val="24"/>
        </w:rPr>
        <w:t xml:space="preserve">1) количество построенных зданий дошкольных образовательных организаций в результате реализации Проекта и их проектная мощность;</w:t>
      </w:r>
    </w:p>
    <w:p>
      <w:pPr>
        <w:spacing w:after="60"/>
        <w:ind w:firstLine="567"/>
        <w:jc w:val="both"/>
      </w:pPr>
      <w:r>
        <w:rPr>
          <w:rFonts w:ascii="Arial" w:cs="Arial" w:eastAsia="Arial" w:hAnsi="Arial"/>
          <w:sz w:val="24"/>
          <w:szCs w:val="24"/>
        </w:rPr>
        <w:t xml:space="preserve">2) количество реанимированных зданий дошкольных образовательных организаций и их проектная мощность;</w:t>
      </w:r>
    </w:p>
    <w:p>
      <w:pPr>
        <w:spacing w:after="60"/>
        <w:ind w:firstLine="567"/>
        <w:jc w:val="both"/>
      </w:pPr>
      <w:r>
        <w:rPr>
          <w:rFonts w:ascii="Arial" w:cs="Arial" w:eastAsia="Arial" w:hAnsi="Arial"/>
          <w:sz w:val="24"/>
          <w:szCs w:val="24"/>
        </w:rPr>
        <w:t xml:space="preserve">3) количество созданных рабочих мест в результате реализации Проекта;</w:t>
      </w:r>
    </w:p>
    <w:p>
      <w:pPr>
        <w:spacing w:after="60"/>
        <w:ind w:firstLine="567"/>
        <w:jc w:val="both"/>
      </w:pPr>
      <w:r>
        <w:rPr>
          <w:rFonts w:ascii="Arial" w:cs="Arial" w:eastAsia="Arial" w:hAnsi="Arial"/>
          <w:sz w:val="24"/>
          <w:szCs w:val="24"/>
        </w:rPr>
        <w:t xml:space="preserve">4) количество и качество приобретенных учебно-дидактических материалов;</w:t>
      </w:r>
    </w:p>
    <w:p>
      <w:pPr>
        <w:spacing w:after="60"/>
        <w:ind w:firstLine="567"/>
        <w:jc w:val="both"/>
      </w:pPr>
      <w:r>
        <w:rPr>
          <w:rFonts w:ascii="Arial" w:cs="Arial" w:eastAsia="Arial" w:hAnsi="Arial"/>
          <w:sz w:val="24"/>
          <w:szCs w:val="24"/>
        </w:rPr>
        <w:t xml:space="preserve">5) количество и вид приобретенных, обновленных основных средств.</w:t>
      </w:r>
    </w:p>
    <w:p>
      <w:pPr>
        <w:spacing w:after="60"/>
        <w:ind w:firstLine="567"/>
        <w:jc w:val="both"/>
      </w:pPr>
      <w:r>
        <w:rPr>
          <w:rFonts w:ascii="Arial" w:cs="Arial" w:eastAsia="Arial" w:hAnsi="Arial"/>
          <w:sz w:val="24"/>
          <w:szCs w:val="24"/>
        </w:rPr>
        <w:t xml:space="preserve">По результатам мониторинга Министерство образования и науки Кыргызской Республики оформляет отчет и не позднее 1 декабря представляет в Администрацию Президента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9299sbf9aa4eyh66bo6k" Type="http://schemas.openxmlformats.org/officeDocument/2006/relationships/hyperlink" Target="http://kodeks.duckdns.org/document/112665" TargetMode="External"/><Relationship Id="rIdgqw4kyslrz7r1gcatb_hh" Type="http://schemas.openxmlformats.org/officeDocument/2006/relationships/hyperlink" Target="http://kodeks.duckdns.org/document/112301#st_13" TargetMode="External"/><Relationship Id="rId_km5zzuvzpjluqhhrlwtd" Type="http://schemas.openxmlformats.org/officeDocument/2006/relationships/hyperlink" Target="http://kodeks.duckdns.org/document/112301#st_17" TargetMode="External"/><Relationship Id="rIdk_3z30czq-kbrrzigpbqh" Type="http://schemas.openxmlformats.org/officeDocument/2006/relationships/hyperlink" Target="http://kodeks.duckdns.org/document/160380" TargetMode="External"/><Relationship Id="rId3jpv9wlao7nyksuhauaa0" Type="http://schemas.openxmlformats.org/officeDocument/2006/relationships/hyperlink" Target="http://kodeks.duckdns.org/document/160380#pr1" TargetMode="External"/><Relationship Id="rIdfzcws3u0-mqvc5grpbsoa" Type="http://schemas.openxmlformats.org/officeDocument/2006/relationships/hyperlink" Target="http://kodeks.duckdns.org/document/230005673#pr" TargetMode="External"/><Relationship Id="rIdrf8mjk6igxq5c6cdwgec4" Type="http://schemas.openxmlformats.org/officeDocument/2006/relationships/hyperlink" Target="http://kodeks.duckdns.org/document/157146" TargetMode="External"/><Relationship Id="rIdz8h0i30ecygow6zf3qoxo" Type="http://schemas.openxmlformats.org/officeDocument/2006/relationships/hyperlink" Target="http://kodeks.duckdns.org/document/157147"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2026-09-23T07:41:06.994Z</dcterms:created>
  <dcterms:modified xsi:type="dcterms:W3CDTF">2026-09-23T07:41:06.995Z</dcterms:modified>
</cp:coreProperties>
</file>

<file path=docProps/custom.xml><?xml version="1.0" encoding="utf-8"?>
<Properties xmlns="http://schemas.openxmlformats.org/officeDocument/2006/custom-properties" xmlns:vt="http://schemas.openxmlformats.org/officeDocument/2006/docPropsVTypes"/>
</file>