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300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вывоз известняка-ракушечника, необработанного или грубо раздробленно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распиленного или разделенного другим способом на блоки или плиты прямоугол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ьно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й, квадратной формы, за пределы таможенной территории Евразийского экономического союза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29, 47 Договора о Евразийском экономическом союзе от 29 мая 2014 года, статьями </w:t>
      </w:r>
      <w:hyperlink w:history="1" r:id="rIdujqbwjujytim1ba1eby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w7b_5itxgdut410pu4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из Кыргызской Республики за пределы таможенной территории Евразийского экономического союза произведенного или добытого на территории Кыргызской Республики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 (классифицируемые кодами 2515 11 </w:t>
      </w:r>
      <w:r>
        <w:rPr>
          <w:rFonts w:ascii="Arial" w:cs="Arial" w:eastAsia="Arial" w:hAnsi="Arial"/>
          <w:sz w:val="24"/>
          <w:szCs w:val="24"/>
        </w:rPr>
        <w:t xml:space="preserve">000</w:t>
      </w:r>
      <w:r>
        <w:rPr>
          <w:rFonts w:ascii="Arial" w:cs="Arial" w:eastAsia="Arial" w:hAnsi="Arial"/>
          <w:sz w:val="24"/>
          <w:szCs w:val="24"/>
        </w:rPr>
        <w:t xml:space="preserve"> 0 и 2515 12 000 0 ТН ВЭД ЕАЭС), вводимый по истечении трех дней после вступления в силу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ipnyf6jr8rdrxwsukyp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запрета на вывоз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формы, за пределы таможенной территории Евразийского экономического союза» от 24 октября 2023 года № 564.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июня 2024 года № 45 (3598)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jqbwjujytim1ba1ebyc_" Type="http://schemas.openxmlformats.org/officeDocument/2006/relationships/hyperlink" Target="http://kodeks.duckdns.org/document/112301#st_13" TargetMode="External"/><Relationship Id="rIduw7b_5itxgdut410pu4ks" Type="http://schemas.openxmlformats.org/officeDocument/2006/relationships/hyperlink" Target="http://kodeks.duckdns.org/document/112301#st_17" TargetMode="External"/><Relationship Id="rIdipnyf6jr8rdrxwsukypzt" Type="http://schemas.openxmlformats.org/officeDocument/2006/relationships/hyperlink" Target="http://kodeks.duckdns.org/document/16049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2026-09-23T06:12:06.543Z</dcterms:created>
  <dcterms:modified xsi:type="dcterms:W3CDTF">2026-09-23T06:12:06.543Z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