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Соглашению между Кыргызской Республикой и Словацкой Республикой об исключении двойного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налогообложения в отношении налогов на доходы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предотвращении уклонени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 уплаты налогов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избежани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налогообложени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подписанному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2024 года в городе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подписанное 13 марта 2024 года в городе Бишкек, соответствует нормам </w:t>
      </w:r>
      <w:hyperlink w:history="1" r:id="rIdp9fut1upbmtgt-9e2y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 </w:t>
      </w:r>
      <w:hyperlink w:history="1" r:id="rIdhjs1atbtn7kpmxlumg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Соглашение до его подписания в установленном порядке согласовано с министерствами и ведомствами Кыргызской Республики, профильными комитетами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неша Кыргызской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еспублики: Комитетом по бюджету, экономической и фискальной политике, Комитетом по международным делам, обороне, безопасности и миграции и одобрено распоряжением Кабинета Министров Кыргызской Республики от 22 февраля 2023 года № 69-р.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рассматривается в качестве средства привлечения прямых иностранных инвестиций в экономику республики и создает условия иностранным компаниям для инвестирования в различные отрасли экономики нашей страны путем исключения двойного налогообложения и предоставления гарантий по обложению налогами только в одной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основными задачами данного Соглашения являются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Соглашения, взаимный обмен информацией между компетентными органами договаривающихся государств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обеспечения выполнения положений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Соглашение необходимо для выработки обще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подхода во взаимоотношениях налогового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нашего </w:t>
      </w:r>
      <w:r>
        <w:rPr>
          <w:rFonts w:ascii="Arial" w:cs="Arial" w:eastAsia="Arial" w:hAnsi="Arial"/>
          <w:sz w:val="24"/>
          <w:szCs w:val="24"/>
        </w:rPr>
        <w:t xml:space="preserve">государства со Словацкой Республикой, который одновременно отражал бы национальные положения в налоговом законод</w:t>
      </w:r>
      <w:r>
        <w:rPr>
          <w:rFonts w:ascii="Arial" w:cs="Arial" w:eastAsia="Arial" w:hAnsi="Arial"/>
          <w:sz w:val="24"/>
          <w:szCs w:val="24"/>
        </w:rPr>
        <w:t xml:space="preserve">ательст</w:t>
      </w:r>
      <w:r>
        <w:rPr>
          <w:rFonts w:ascii="Arial" w:cs="Arial" w:eastAsia="Arial" w:hAnsi="Arial"/>
          <w:sz w:val="24"/>
          <w:szCs w:val="24"/>
        </w:rPr>
        <w:t xml:space="preserve">ве Кыргызской Республики. Более того, отмечаем, что вышеуказанное Соглашение является единой формой в решении тех общих пробл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и </w:t>
      </w:r>
      <w:r>
        <w:rPr>
          <w:rFonts w:ascii="Arial" w:cs="Arial" w:eastAsia="Arial" w:hAnsi="Arial"/>
          <w:sz w:val="24"/>
          <w:szCs w:val="24"/>
        </w:rPr>
        <w:t xml:space="preserve">задач, которые возникают в правовой сфере международного двойного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позволит увеличить товорооборот и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ем инвестиций между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yfkahaojuc8jq7zko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данное </w:t>
      </w:r>
      <w:r>
        <w:rPr>
          <w:rFonts w:ascii="Arial" w:cs="Arial" w:eastAsia="Arial" w:hAnsi="Arial"/>
          <w:sz w:val="24"/>
          <w:szCs w:val="24"/>
        </w:rPr>
        <w:t xml:space="preserve">Соглашение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требует финансовых затрат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не повлечет социальных, экономических, правовых, правозащитных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гендерных, экологических, коррупционных последствий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8bqmm1z9llnfqllfu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dalil.kg/document/230009361</w:t>
      </w:r>
    </w:hyperlink>
  </w:p>
  <w:p>
    <w:pPr>
      <w:spacing w:after="0" w:before="40"/>
      <w:jc w:val="center"/>
    </w:pPr>
    <w:hyperlink w:history="1" r:id="rIdtyna1k1zfmtrzszijx2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fut1upbmtgt-9e2yjcp" Type="http://schemas.openxmlformats.org/officeDocument/2006/relationships/hyperlink" Target="https://dalil.kg/document/112213" TargetMode="External"/><Relationship Id="rIdhjs1atbtn7kpmxlumgevj" Type="http://schemas.openxmlformats.org/officeDocument/2006/relationships/hyperlink" Target="https://dalil.kg/document/205286" TargetMode="External"/><Relationship Id="rIdqyfkahaojuc8jq7zko6np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8bqmm1z9llnfqllfumo" Type="http://schemas.openxmlformats.org/officeDocument/2006/relationships/hyperlink" Target="https://dalil.kg/document/230009361" TargetMode="External"/><Relationship Id="rIdtyna1k1zfmtrzszijx2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2026-09-27T20:41:58.509Z</dcterms:created>
  <dcterms:modified xsi:type="dcterms:W3CDTF">2026-09-27T20:41:58.509Z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