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определения тарифов на услуги централизованного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питьевого водоснабжения и водоотведения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f23hnzbduhhgfwymyky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2025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gfpp0t6lcuwt8xqv2f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zih-trofk0fyqbwrk5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2026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определения тарифов на услуги централизованного питьевого водоснабжения и водоотведения (далее - Порядок) является единым методическим указанием по формированию тарифов за оказание услуг централизованного питьевого водоснабжения и водоотведения, оказываемых предприятиями (организациями) водоснабжения и водоотведения.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(организации) водоснабжения и водоотведения, оказывающие услуги централизованного питьевого водоснабжения и водоотведения, являются субъектами естественных монополий и подлежат государственному регулированию.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koedz3-2vza6znirx2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настоящего Порядка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недопущение необоснованного установления и повышения тарифов за оказание услуг централизованного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стимулирование потребителей к бережливому использованию питьевой воды и применению ресурсосберегающих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возмещение затрат, связанных с оказанием услуг централизованного водоснабжения и водоотведения.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водоснабжение - совокупность мероприятий по добыче, обеззараживанию, транспортировке, распределению и реализации питьевой воды в соответствии с требованиями </w:t>
      </w:r>
      <w:hyperlink w:history="1" r:id="rIde7s8-wz06ka_gxurvvb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"Технический регламент "О безопасности питьевой воды";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водоотведение - совокупность мероприятий по приему, транспортировке и очистке сточных вод, обеспечивающих удаление сточных вод с территории домохозяйств, организаций и предприятий безопасным для населенных пунктов способом и отвечающих стандартам качества воды при ее возвращении в окружающую среду;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себестоимость услуг водопроводно-канализационного хозяйства - совокупность затрат предприятия (организации) </w:t>
      </w:r>
      <w:r>
        <w:rPr>
          <w:rFonts w:ascii="Arial" w:cs="Arial" w:eastAsia="Arial" w:hAnsi="Arial"/>
          <w:sz w:val="24"/>
          <w:szCs w:val="24"/>
        </w:rPr>
        <w:t xml:space="preserve">(планируемых и/или фактических)</w:t>
      </w:r>
      <w:r>
        <w:rPr>
          <w:rFonts w:ascii="Arial" w:cs="Arial" w:eastAsia="Arial" w:hAnsi="Arial"/>
          <w:sz w:val="24"/>
          <w:szCs w:val="24"/>
        </w:rPr>
        <w:t xml:space="preserve"> в денежной форме, необходимых для приобретения и/или производства услуг для обеспечения водоснабжения и водоотведения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 калькуляция - исчисление стоимости единицы услуг централизованного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 прямые затраты - затраты, непосредственно связанные с процессом оказания услуг централизованного питьевого водоснабжения и водоотведения, которые можно напрямую отнести на себестоимость услуги централизованного питьевого водоснабжения и услуги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 косвенные затраты - затраты, которые не могут быть напрямую отнесены на себестоимость оказания услуг централизованного питьевого водоснабжения и водоотведения и обеспечивают производственные процессы и работу предприятия (организации) в целом (например, расходы на оплату труда и отчисления на социальное страхование вспомогательного и административно-управленческого персонала, затраты на энергию, амортизацию оборудования, арендную плату, транспортные затраты, общехозяйственные расходы и т.д.).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yq08l65biqsa3ghhgp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2026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Косвенные затраты могут распределяться (пропорционально) по одному из перечисленных критериев: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прямые материальные затраты (сумма прямых затрат);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трудоемкость;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пропорционально доле доходов;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приведенный условный коэффициент.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Методика распределения косвенных затрат предприятием (организацией) определяется самостоятельно и применяется как при формировании цен (тарифов), так и при определении фактически сложившихся косвенных затрат.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Иные понятия и термины, используемые в настоящем Порядке, применяются в соответствии с законодательством Кыргызской Республики в сфере естественных монополий и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принципы определения тарифов 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оказание услуг централизованного питьевого водоснабжения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водоотведения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Тарифы за оказание услуг централизованного питьевого водоснабжения и водоотведения определяются из экономически обоснованной себестоимости </w:t>
      </w:r>
      <w:r>
        <w:rPr>
          <w:rFonts w:ascii="Arial" w:cs="Arial" w:eastAsia="Arial" w:hAnsi="Arial"/>
          <w:sz w:val="24"/>
          <w:szCs w:val="24"/>
        </w:rPr>
        <w:t xml:space="preserve">(планируемых и/или фактических)</w:t>
      </w:r>
      <w:r>
        <w:rPr>
          <w:rFonts w:ascii="Arial" w:cs="Arial" w:eastAsia="Arial" w:hAnsi="Arial"/>
          <w:sz w:val="24"/>
          <w:szCs w:val="24"/>
        </w:rPr>
        <w:t xml:space="preserve"> и определенного размера прибыли, достаточного для поддержания необходимого уровня предоставляемых услуг потребителям и выполнения долговых обязательств по кредитам и займам, полученным от международных финансовых институтов, создания резерва для инвестирования собственных средств в модернизацию, реконструкцию и реабилитацию основных фондов, оказания материально-социальных льгот коллективу водоснабжающих предприятий (организаций) согласно коллективному договору, но не ниже фактического уровня инфляции за предыдущий календарный год согласно данным Национального статистического комитета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себестоимости воды производится путем деления затрат на добытую воду, затрат по обеззараживанию, затрат по транспортировке, распределению и реализации на объем реализованной воды за определенный период (месяц, квартал, год), а также делением затрат на транспортировку, прием и обеззараживание сточных вод на объем принятых к очистке стоков от абонентов за определенный период (месяц, квартал, год).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avtrsxobgmwe-27l9cr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mscevoighvx45s8sd9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2026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Представительный орган местного самоуправления вправе дифференцировать согласованный с территориальным подразделением государственного органа в сфере антимонопольного регулирования тариф на следующие 3 категории: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 категория – физические лица (население), кроме индивидуальных предпринимателей;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 категория – бюджетные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 категория – прочие потребители независимо от формы собственности и балансовой принадлежности.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же на следующие две категории: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 категория – физические лица (население), кроме индивидуальных предпринимателей;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 категория – прочие потребители независимо от формы собственности и балансовой принадлежности.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j8vwok4yefcps0tk3s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Расчет стоимости тарифов осуществляется по следующей формуле: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P = Z1 / V + (In * (Z1 / V) / 100),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 – тариф на услуги водоснабжения и (или) водоотведения за один кубический метр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Z1 – затраты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20</w:t>
      </w:r>
      <w:r>
        <w:rPr>
          <w:rFonts w:ascii="Arial" w:cs="Arial" w:eastAsia="Arial" w:hAnsi="Arial"/>
          <w:sz w:val="24"/>
          <w:szCs w:val="24"/>
        </w:rPr>
        <w:t xml:space="preserve"> 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V – планируемый объем потребления услуг водоснабжения и (или) водоотведения всеми потребителями в кубических метрах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(на основе фактических объемов предыдущего периода с учетом прогнозируемых подключений или в соответствии с утвержденной местными кенешами нормой потребления);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In – норма прибыли, обеспечивающая покрытие затрат, предусмотренных в </w:t>
      </w:r>
      <w:r>
        <w:rPr>
          <w:rFonts w:ascii="Arial" w:cs="Arial" w:eastAsia="Arial" w:hAnsi="Arial"/>
          <w:sz w:val="24"/>
          <w:szCs w:val="24"/>
        </w:rPr>
        <w:t xml:space="preserve">пункте 7</w:t>
      </w:r>
      <w:r>
        <w:rPr>
          <w:rFonts w:ascii="Arial" w:cs="Arial" w:eastAsia="Arial" w:hAnsi="Arial"/>
          <w:sz w:val="24"/>
          <w:szCs w:val="24"/>
        </w:rPr>
        <w:t xml:space="preserve"> 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тарифа производится раздельно по каждому виду регулируемых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Раздельный учет ведется на основании данных бухгалтерского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ha0n2ldwro52amvbzo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Представительный орган местного самоуправления вправе устанавливать: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льготные тарифы для потребителей 1 категории при условии возмещения разницы между льготным тарифом и расчетным тарифом за счет местного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повышающий коэффициент к тарифу, установленному для прочих потребителей независимо от формы собственности и балансовой принадлежности, использующих в больших объемах услуги централизованного питьевого водоснабжения и (или) водоотведения для ведения предпринимательской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таких потребителей, к которым применяется повышающий коэффициент к тарифу, определяется представительным органом местного самоуправления. По решению представительного органа местного самоуправления повышающий коэффициент может применяться к услугам и централизованного питьевого водоснабжения и водоотведения либо к одной из этих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Диапазон коэффициента определяется в пределах от 1.0 (без оснований) до 3.0 (максимально допустимое повышение).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применения повышающего коэффициента расчет оплаты за услуги питьевого водоснабжения и(или) водоотведения осуществляется путем умножения объема потребленных услуг на тариф (за 1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и на размер повышающего коэффициента.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odpx7ebtbymwz-hlrko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2025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4460io0ioiefyexa8r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Тарифы за оказание услуг централизованного питьевого водоснабжения и водоотведения согласовываются с территориальными подразделениями государственного органа в сфере антимонопольного регулирования и утверждаются представительными органами местного самоуправления в соответствии с настоящим Порядком.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согласования и утверждения тарифов 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оказание услуг централизованного питьевого водоснабжения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водоотведения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согласования тарифов за оказание услуг централизованного питьевого водоснабжения и водоотведения предприятиями (организациями) водоснабжения и водоотведения в территориальные подразделения государственного органа в сфере антимонопольного регулирования представляются следующие материалы: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сопроводительное письмо (в произвольной форме);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 прейскуранта тарифов в 2 экземплярах на бумажном носителе, которые должны быть подписаны руководителем и главным бухгалтером и заверены печатью предприятия (организации), а также представлены в электронном формате;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технико-экономические и финансовые показатели предприятия (организации);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балансовый отчет со всеми приложениями;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анализ применения действующих тарифов в суммарном и количественном выражении;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калькуляция затрат с расшифровками статьей;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сравнительная таблица показателей калькуляций с расшифровками статей;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расшифровка накладных расходов (обоснование накладных расходов);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обоснование причин при изменении уровня цен (тарифов);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обоснование принятого объема прибыли (рентабельности).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xjwredkufkvxr9dbte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2026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После рассмотрения расчетных материалов в соответствии с пунктом 12 настоящего Порядка предприятия (организации) водоснабжения и водоотведения, оказывающие услуги централизованного питьевого водоснабжения и водоотведения, проводят процедуру публичного обсуждения проекта цен (тарифов) или их предельных уровней на регулируемые товары (работы, услуги) субъекта естественной монополии с приглашением представителей государственных органов, потребителей и их общественных объединений, средств массовой информации, независимых экспертов и субъектов водоснабжения и водоотведения.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Принципы проведения обсуждения: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гласность;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баланса интересов потребителей и субъектов водоснабжения и водоотведения.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Представительный орган местного самоуправления до проведения публичного обсуждения размещает на своем интернет-ресурсе информацию об ожидаемых изменениях цен (тарифов) или его предельном уровне на регулируемые товары (работы, услуги) субъектов водоснабжения и водоотведения для конечных потребителей.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составляющие коммерческую и иную охраняемую законом тайну, не подлежат оглашению на публичных слушаниях без согласования с субъектом водоснабжения и водоотведения.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byjctsekraa-encx_x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2026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 правильность и достоверность представленных материалов ответственность несет руководитель предприятия (организации) водоснабжения и водоотведения.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отсутствия материалов,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представленные документы территориальным подразделением государственного органа в сфере антимонопольного регулирования не рассматриваются. Отказ в рассмотрении документов направляется предприятию (организации) водоснабжения не позднее 5 рабочих дней с даты их поступления в территориальное подразделение государственного органа в сфере антимонопольного регулирования и должен содержать перечень недостающей информации и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wynb8_vq7do2m4oxxp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Представленные материалы рассматриваются территориальным подразделением государственного органа в сфере антимонопольного регулирования в срок, не превышающий 15 рабочих дней с даты поступления всех расчетных материалов, указанных в пункте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ysawttmptyny1gmylos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fwziltinjk7qofjgvp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2026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15¹. После получения всех необходимых документов в соответствии с пунктом 12 настоящего Порядка со стороны территориального подразделения государственного органа в сфере антимонопольного регулирования, в случае выявления несоответствий в расчетах и обоснованиях тарифов на услуги централизованного питьевого водоснабжения и водоотведения, территориальное подразделение государственного органа в сфере антимонопольного регулирования в письменной форме предоставляет заявителю мотивированный отказ с указанием причин и выявленных несоответствий.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6vvmnaxhljt-0tbjav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2026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Предприятия (организации), предоставляющие услуги централизованного питьевого водоснабжения и водоотведения в недельный срок после принятия решения о согласовании тарифов обязаны представить тарифы в исполнительный орган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Исполнительный орган местного самоуправления в течение недельного срока с даты получения согласованных тарифов обязан внести на утверждение в представительный орган местного самоуправления согласованные тарифы на утверждение.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Представительный орган местного самоуправления на ближайшей сессии принимает соответствующее решение об утверждении тарифов либо направляет мотивированный (экономически обоснованный) отказ в утверждении тарифов предприятию (организации), предоставляющему услуги централизованного питьевого водоснабжения и водоотведения, и в соответствующее территориальное подразделение государственного органа в сфере антимонопольного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Тарифы действуют до утверждения новых тарифов в соответствии с законодательством Кыргызской Республики в сфере естественных монополий.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обращений, жалоб, заявлений от юридических и физических лиц, а также при выявлении нарушения предприятиями и организациями антимонопольного законодательства Кыргызской Республики, территориальное подразделение государственного органа в сфере антимонопольного регулирования вправе инициировать изменение тарифа в соответствии с настоящим Порядком.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19¹. Возможен пересмотр тарифа с учетом официальных данных Национального статистического комитета Кыргызской Республики по индексу потребительских цен за последний календарный год в соответствии с настоящим Порядком при обращении предприятия (организации), предоставляющего услуги централизованного питьевого водоснабжения и водоотведения.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3x07ifbgh8qhka48dk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2026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Состав затрат, подлежащих включению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себестоимость услуг централизованного питьевого водоснабжения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водоотведения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Себестоимость услуг централизованного питьевого водоснабжения и водоотведения формируется по следующим статьям: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материальные затраты;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топливо и энергия на технологические цели;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затраты на оплату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отчисления по социальному страхованию;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амортизация основных средств и нематериальных активов;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ремонт основных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транспортные расходы;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административные расходы;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цеховые расходы;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общехозяйственные расходы.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8yns2hadio4tvwmgvt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статье материальные затраты отражается стоимость приобретаемых материалов (без учета НДС), используемых в процессе оказания услуг централизованного водоснабжения и водоотведения для обеспечения нормального технологического процесса, вспомогательных материалов (если они не выделяются в отдельную статью).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предприятие (организация) не является плательщиком НДС, то стоимость этих материалов определяется с учетом НДС.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статье топливо и энергия на технологические цели отражают затраты на приобретение всех видов топлива, расходуемого на технологические цели.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израсходованное на производство однородное топливо в натуральных измерителях расценивается по средневзвешенной цене на складе хранения в пределах утвержденных норм.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 топлива на производство, независимо от его вида и марки, приводится к единому измерителю путем перерасчета на условное топливо.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хищений и злоупотреблений, недостача сырья и материалов не включается в себестоимость.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Затраты на покупную энергию состоят из расходов на ее оплату по установленным ценам (тарифам) в соответствии с установленными нормами.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статье затраты на оплату труда отражаются затраты на выплату заработной платы за фактически выполненную работу, начисленную согласно штатному расписанию, трудовому договору, премии, надбавки к тарифным ставкам, отпускные, стимулирующие выплаты и компенсации, в соответствии с трудовым законодательством Кыргызской Республики. В состав затрат на оплату труда включаются: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выплаты заработной платы за фактически выполненную работу, исчисленные исходя из сдельных расценок, тарифных ставок и должностных окладов, в соответствии с принятыми на предприятии (организации) формами и системами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надбавки к тарифным ставкам и окладам за профессиональное мастерство, высокие достижения в труде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выплаты компенсирующего и стимулирующего характера, связанные с режимом работы и условиями труда, в том числе надбавки и доплаты к тарифным ставкам и окладам за работу в ночное время, сверхурочную работу, работу в многосменном режиме, за работу в тяжелых, вредных, особо вредных условиях труда и т.д.,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единовременные вознаграждения за выслугу лет (надбавки за стаж работы по специальности в данном хозяйстве)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выплаты, обусловленные районным регулированием оплаты труда, производимые в соответствии с трудовым законодательством, в том числе выплаты по районным коэффициентам и коэффициентам за работу в высокогорных труднодоступных и отдаленных местностях, надбавки к заработной плате, предусмотренные за непрерывный стаж работы в отдельных регионах республики, где предусматривается компенсация к заработной плате за неблагоприятные условия работы в районах с особыми природно-климатическими условиями (высокогорье, труднодоступность, отдаленность).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статье отчисления по социальному страхованию отражаются отчисления, которые производятся в соответствии с законодательством Кыргызской Республики по государственному социальному страхованию.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статье амортизация основных средств и нематериальных активов отражается сумма амортизационных отчислений основных средств и нематериальных активов, приобретенных как за счет собственных средств, так и на безвозмездной основе (грант) в соответствии с Налоговым кодексом и законодательством в сфере бухгалтерского учета или исходя из срока эксплуатации.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afk5ez3x-uhpkmyzmb1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Амортизационные отчисления отражают сумму амортизационных начислений на основные средства и нематериальные активы, непосредственно используемые при оказании услуг централизованного питьевого водоснабжения и водоотведения, исходя из их балансовой стоимости и утвержденных норм или срока эксплуатации. Примечание: амортизация начисляется исходя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периода времени, в течение которого предполагается получение экономических выгод;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объема оказанных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Переоценка основных фондов производится в соответствии с законодательством Кыргызской Республики в сфере бухгалтерского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Фактические затраты на приобретение объекта основных средств включают покупную цену, в том числе импортные пошлины и не возмещаемые налоги на покупку, а также любые прямые затраты по приведению актива в рабочее состояние для использования по назначению. Любые торговые скидки вычитаются при определении покупной цены.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Прямые затраты включают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затраты на подготовку площадки;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первичные затраты на доставку и разгрузку;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затраты на установку и другие пуско-наладочные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расходы на оплату работ и (или) услуг, выполняемых сторонними организациями, связанных с эксплуатацией централизованных систем водоснабжения и (или)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предполагаемая стоимость демонтажа.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uo8fjutnnw97qycpar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статье ремонт основных средств включаются работы, в сумме составляющие </w:t>
      </w:r>
      <w:r>
        <w:rPr>
          <w:rFonts w:ascii="Arial" w:cs="Arial" w:eastAsia="Arial" w:hAnsi="Arial"/>
          <w:sz w:val="24"/>
          <w:szCs w:val="24"/>
        </w:rPr>
        <w:t xml:space="preserve">до </w:t>
      </w:r>
      <w:r>
        <w:rPr>
          <w:rFonts w:ascii="Arial" w:cs="Arial" w:eastAsia="Arial" w:hAnsi="Arial"/>
          <w:sz w:val="24"/>
          <w:szCs w:val="24"/>
        </w:rPr>
        <w:t xml:space="preserve">15 процентов от балансовой стоимости всех основных средств на начало отчетного периода.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wnohe4atavxqkqcvph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статье транспортные расходы отражается фактический расход на содержание спецтехники и автотранспорта.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tswm5gpkbrw4flj_m2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статье административные расходы отражают расходы, связанные с содержанием административно-управленческого персонала (руководство, бухгалтерия, юридическая служба, кадровая служба и т. д.),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оплата труда работников, относящихся к управленческому и общехозяйственному персоналу. В состав затрат на оплату труда включаются все выплаты,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23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и производимые управленческому и общехозяйственному персоналу;";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отчисления на социальное и медицинское страхование, в соответствии с законодательством Кыргызской Республики по государственному социальному страхованию;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содержание административного аппарата управления, работников, обслуживающих структурные подразделения, их материально-техническое и транспортное обслуживание, в том числе расходы на содержание служебного легкового автотранспорта. Количество единиц служебного легкового автотранспорта, расходы на содержание которых включаются в себестоимость оказания услуг централизованного водоснабжения и водоотведения, согласовывается с уполномоченным антимонопольным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расходы на содержание и обслуживание технических средств управления, узлов связи, средств сигнализации, вычислительных центров и других технических средств управления, не относящихся к производству (износ основных средств общехозяйственного назначения, расходы на содержание зданий, сооружений и инвентаря общехозяйственного назначения). Расходы по ремонту зданий и сооружений включаются в стоимость, в соответствии со сметами, составленными на финансовый год, которые должны осваиваться в отчетном периоде;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оплата услуг банка (открытие и ведение расчетного счета, комиссионные за перечисление денежных средств и др.);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оплата услуг, осуществляющих сторонними организациями по общехозяйственному управлению, в тех случаях, когда штатным расписанием субъекта не предусмотрены те или иные функциональные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расходы на командировки административного персонала управления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канцелярские, типографские, почтовые, телеграфные и телефонные расходы;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расходы по обеспечению выполнения санитарно-гигиенических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арендная плата, не связанная с арендой централизованных систем водоснабжения и (или)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расходы на составление и выполнение программы производственного контроля, включая проведение лабораторных исследований питьевой воды и сточных вод по показателям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вознаграждения за выслугу лет непроизводственным работникам (аппарат управления и т.д.) в соответствии с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yw_rwkm2aw7ucefgx34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Цеховые расходы, к которым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расходы по выплате заработной платы и отчисления на социальное страхование аппарата управления цеха и работников, не относящихся к аппарату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расходы на охрану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износ малоценных и быстроизнашивающихся предметов;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расходы на содержание и эксплуатацию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непроизводственные расходы.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Цеховые расходы, как правило, распределяются между различными видами товаров (работ, услуг) пропорционально сумме заработной платы производственных рабочих, расходов на содержание и эксплуатацию оборудования и сумме основных затрат без стоимости сырья, материалов и полуфабрикатов.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kptiwlvzi43oc3ywfh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статье общехозяйственные расходы включают: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налоги (невозмещаемые);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veczhn-b_az9uo-ap-u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платежи за выбросы (сбросы) загрязняющих веществ;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вознаграждения за изобретения и рационализаторские предложения;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платежи по кредитам банков в пределах ставки, установленной законодательством в банковской сфере Кыргызской Республики (за исключением кредитов, связанных с приобретением основных средств и нематериальных активов), и затраты на оплату процентов по кредитам поставщиков (производителей) товаров (работ, услуг) за приобретение товарно-материальных ценностей (проведение работ, оказание услуг сторонними предприятиями);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расходы на сертификацию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расходы на командировки;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расходы на подготовку и переподготовку кадров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расходы на организованный набор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арендная плата в отношении централизованных систем водоснабжения и (или) водоотведения или их отдельных объектов, находящихся в муниципальной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расходы на содержание ведомственных лабораторий;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utte9yisbars-pk2eli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y-2h7vn7ye-3a3mtpb5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l5mg9sig3cr2wjnpmbg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20s0ct65h-b5b79te_j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tkrwrn2knj19tmjuoqs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ghfb9qip5tu2tpgtdi2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расходы на охрану объектов водопроводно-канализационного хозяйства сторонними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затраты на лицензионно-разрешительные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dvgzdjxpfnnb5nsjqmx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коммунальные расходы;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канцелярские расходы.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себестоимость услуг не включаются: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материальная помощь, беспроцентная ссуда на улучшение жилищных условий и другие социальные выплаты;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оплата путевок на лечение и отдых, экскурсии и путешествия и т.п.;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другие виды выплат, не связанные непосредственно с оплатой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судебные издержки;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затраты, связанные с ревизией финансово-хозяйственной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штрафы, пени и другие виды санкций за нарушение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убытки от хищений;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оказание всех видов спонсорской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оплата жилья, общежития;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затраты на капитальное строительство, связанное с подключением новых абонентов, за исключением случаев реконструкции и увеличения существующих мощностей;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другие затраты, непосредственно не относящиеся к выполнению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запрещается: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расходовать не по назначению средства, заложенные в стоимость услуг (тарифа);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деятельность не заложенной в стоимости услуг (тарифа).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Стимулирование предприятий (организаций) водоснабжения и водоотведения к снижению расходов (затрат) и повышению эффективности деятельности осуществляется путем предоставления возможности получения и использования дополнительной прибыли за счет экономии расходов (затрат) посредством: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внедрения более эффективных методов и технологий оказания услуг централизованного питьевого водоснабжения и водоотведения;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рационального использования денежных средств в результате проведения конкурсных (тендерных) процедур;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мероприятий по снижению нормативных технологических (технических) расходов (потерь);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внедрения передовых методов организации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внедрения энерго- и ресурсосберегающих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иных мероприятий по сокращению и оптимизации расходов (затрат).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Полученная предприятиями (организациями) водоснабжения и водоотведения экономия расходов (затрат), в случае представления в территориальные подразделения государственного органа в сфере антимонопольного регулирования экономического обоснования по проведенным мероприятиям, не учитывается при расчете тарифов (калькуляция расходов (затрат) осуществляется без учета наличия экономии) в течение периода с начала формирования экономии расходов (затрат) до истечения трех лет после окончания срока окупаемости расходов (затрат) на проведение оптимизационных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дополнительной прибыли в результате оптимизации расходов (затрат) или применения более эффективных методов и технологий оказания услуг централизованного питьевого водоснабжения и водоотведения предприятие (организация) водоснабжения и водоотведения направляет сумму экономии на создание новых производственных активов, расширение, восстановление, обновление, поддержку, реконструкцию и техническое перевооружение производственных активов, а также вправе направлять сумму экономии на выплату вознаграждений сотрудникам в сумме, не превышающей 10 процентов от величины полученной экономии расходов (затрат).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t92oxqtnbguf-2tsdh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Государственный контроль за правильностью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формирования тарифа за оказание услуг централизованного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питьевого водоснабжения и водоотведения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Государственный контроль за правильностью формирования и применения тарифа за оказание услуг централизованного водоснабжения и водоотведения и за соблюдением требований настоящего Порядка осуществляют территориальные подразделения государственного органа в сфере антимонопольного регулирования в соответствии с законодательством Кыргызской Республики о порядке проведения проверок субъектов предпринимательства.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Ответственность за нарушение настоящего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 непредставление предприятием (организацией), предоставляющим услуги централизованного питьевого водоснабжения и водоотведения, материалов на согласование территориальное подразделение государственного органа в сфере антимонопольного регулирования выдает соответствующее предписание.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невыполнения требований предписания, а также за непредставление достоверной информации налагается ответственность в соответствии с Кодексом Кыргызской Республики о правонарушениях.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Виды нарушений порядка определения и применения тарифов за оказание услуг централизованного водоснабжения и водоотведения и ответственность за нарушение настоящего Порядка определены </w:t>
      </w:r>
      <w:hyperlink w:history="1" r:id="rId66r8gvir4vbz1mxeavp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разделом 6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порядке определения цен (тарифов) на товары (работы, услуги) хозяйствующих субъектов, регулируемых государством, утвержденного </w:t>
      </w:r>
      <w:hyperlink w:history="1" r:id="rId7vqfzd6a18zakpdapsm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hyperlink w:history="1" r:id="rIddmdn25dd7jq-joigz6n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хозяйствующих субъектов, регулируемых государством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от 18 февраля 2013 года № 83.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qvjunljxckq0lnm0id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Порядок обжалования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Предприятия (организация) водоснабжения вправе обжаловать решение территориального подразделения государственного органа в сфере антимонопольного регулирования и местного кенеша в порядке, предусмотренном законодательством об административной деятельности и административных процедурах. В случае несогласия с решением по административной жалобе предприятие (организация) водоснабжения вправе обратиться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kerxt3gxkunegkfj3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dalil.kg/document/230009757</w:t>
      </w:r>
    </w:hyperlink>
  </w:p>
  <w:p>
    <w:pPr>
      <w:spacing w:after="0" w:before="40"/>
      <w:jc w:val="center"/>
    </w:pPr>
    <w:hyperlink w:history="1" r:id="rId7yvcjvpz9nlyiefyjaw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3hnzbduhhgfwymyky6r" Type="http://schemas.openxmlformats.org/officeDocument/2006/relationships/hyperlink" Target="https://dalil.kg/document/230026469" TargetMode="External"/><Relationship Id="rIdzgfpp0t6lcuwt8xqv2fx7" Type="http://schemas.openxmlformats.org/officeDocument/2006/relationships/hyperlink" Target="https://dalil.kg/document/230032503" TargetMode="External"/><Relationship Id="rId9zih-trofk0fyqbwrk5iv" Type="http://schemas.openxmlformats.org/officeDocument/2006/relationships/hyperlink" Target="https://dalil.kg/document/230044521" TargetMode="External"/><Relationship Id="rIdakoedz3-2vza6znirx2d9" Type="http://schemas.openxmlformats.org/officeDocument/2006/relationships/hyperlink" Target="https://dalil.kg/document/230032503" TargetMode="External"/><Relationship Id="rIde7s8-wz06ka_gxurvvb1k" Type="http://schemas.openxmlformats.org/officeDocument/2006/relationships/hyperlink" Target="https://dalil.kg/document/203278" TargetMode="External"/><Relationship Id="rIdkyq08l65biqsa3ghhgptn" Type="http://schemas.openxmlformats.org/officeDocument/2006/relationships/hyperlink" Target="https://dalil.kg/document/230044521" TargetMode="External"/><Relationship Id="rIdavtrsxobgmwe-27l9cr4u" Type="http://schemas.openxmlformats.org/officeDocument/2006/relationships/hyperlink" Target="https://dalil.kg/document/230032503" TargetMode="External"/><Relationship Id="rIdpmscevoighvx45s8sd9xj" Type="http://schemas.openxmlformats.org/officeDocument/2006/relationships/hyperlink" Target="https://dalil.kg/document/230044521" TargetMode="External"/><Relationship Id="rIdsj8vwok4yefcps0tk3sas" Type="http://schemas.openxmlformats.org/officeDocument/2006/relationships/hyperlink" Target="https://dalil.kg/document/230032503" TargetMode="External"/><Relationship Id="rIdvha0n2ldwro52amvbzoig" Type="http://schemas.openxmlformats.org/officeDocument/2006/relationships/hyperlink" Target="https://dalil.kg/document/230032503" TargetMode="External"/><Relationship Id="rIdodpx7ebtbymwz-hlrkorq" Type="http://schemas.openxmlformats.org/officeDocument/2006/relationships/hyperlink" Target="https://dalil.kg/document/230026469" TargetMode="External"/><Relationship Id="rIde4460io0ioiefyexa8rhs" Type="http://schemas.openxmlformats.org/officeDocument/2006/relationships/hyperlink" Target="https://dalil.kg/document/230032503" TargetMode="External"/><Relationship Id="rIdjxjwredkufkvxr9dbtetb" Type="http://schemas.openxmlformats.org/officeDocument/2006/relationships/hyperlink" Target="https://dalil.kg/document/230044521" TargetMode="External"/><Relationship Id="rIdlbyjctsekraa-encx_xod" Type="http://schemas.openxmlformats.org/officeDocument/2006/relationships/hyperlink" Target="https://dalil.kg/document/230044521" TargetMode="External"/><Relationship Id="rIdowynb8_vq7do2m4oxxpgd" Type="http://schemas.openxmlformats.org/officeDocument/2006/relationships/hyperlink" Target="https://dalil.kg/document/230032503" TargetMode="External"/><Relationship Id="rIdysawttmptyny1gmylosjx" Type="http://schemas.openxmlformats.org/officeDocument/2006/relationships/hyperlink" Target="https://dalil.kg/document/230032503" TargetMode="External"/><Relationship Id="rIdkfwziltinjk7qofjgvphi" Type="http://schemas.openxmlformats.org/officeDocument/2006/relationships/hyperlink" Target="https://dalil.kg/document/230044521" TargetMode="External"/><Relationship Id="rId26vvmnaxhljt-0tbjav9h" Type="http://schemas.openxmlformats.org/officeDocument/2006/relationships/hyperlink" Target="https://dalil.kg/document/230044521" TargetMode="External"/><Relationship Id="rIdt3x07ifbgh8qhka48dkmv" Type="http://schemas.openxmlformats.org/officeDocument/2006/relationships/hyperlink" Target="https://dalil.kg/document/230044521" TargetMode="External"/><Relationship Id="rId08yns2hadio4tvwmgvtiy" Type="http://schemas.openxmlformats.org/officeDocument/2006/relationships/hyperlink" Target="https://dalil.kg/document/230032503" TargetMode="External"/><Relationship Id="rIdfafk5ez3x-uhpkmyzmb1n" Type="http://schemas.openxmlformats.org/officeDocument/2006/relationships/hyperlink" Target="https://dalil.kg/document/230032503" TargetMode="External"/><Relationship Id="rId9uo8fjutnnw97qycparjg" Type="http://schemas.openxmlformats.org/officeDocument/2006/relationships/hyperlink" Target="https://dalil.kg/document/230032503" TargetMode="External"/><Relationship Id="rIdbwnohe4atavxqkqcvphds" Type="http://schemas.openxmlformats.org/officeDocument/2006/relationships/hyperlink" Target="https://dalil.kg/document/230032503" TargetMode="External"/><Relationship Id="rIdktswm5gpkbrw4flj_m2sn" Type="http://schemas.openxmlformats.org/officeDocument/2006/relationships/hyperlink" Target="https://dalil.kg/document/230032503" TargetMode="External"/><Relationship Id="rIdkyw_rwkm2aw7ucefgx34x" Type="http://schemas.openxmlformats.org/officeDocument/2006/relationships/hyperlink" Target="https://dalil.kg/document/230032503" TargetMode="External"/><Relationship Id="rIdqkptiwlvzi43oc3ywfhhg" Type="http://schemas.openxmlformats.org/officeDocument/2006/relationships/hyperlink" Target="https://dalil.kg/document/230032503" TargetMode="External"/><Relationship Id="rIdveczhn-b_az9uo-ap-ucz" Type="http://schemas.openxmlformats.org/officeDocument/2006/relationships/hyperlink" Target="https://dalil.kg/document/230032503" TargetMode="External"/><Relationship Id="rIdutte9yisbars-pk2elisf" Type="http://schemas.openxmlformats.org/officeDocument/2006/relationships/hyperlink" Target="https://dalil.kg/document/230032503" TargetMode="External"/><Relationship Id="rIdy-2h7vn7ye-3a3mtpb5qs" Type="http://schemas.openxmlformats.org/officeDocument/2006/relationships/hyperlink" Target="https://dalil.kg/document/230032503" TargetMode="External"/><Relationship Id="rIdl5mg9sig3cr2wjnpmbgga" Type="http://schemas.openxmlformats.org/officeDocument/2006/relationships/hyperlink" Target="https://dalil.kg/document/230032503" TargetMode="External"/><Relationship Id="rId20s0ct65h-b5b79te_jzf" Type="http://schemas.openxmlformats.org/officeDocument/2006/relationships/hyperlink" Target="https://dalil.kg/document/230032503" TargetMode="External"/><Relationship Id="rIdtkrwrn2knj19tmjuoqs2e" Type="http://schemas.openxmlformats.org/officeDocument/2006/relationships/hyperlink" Target="https://dalil.kg/document/230032503" TargetMode="External"/><Relationship Id="rIdghfb9qip5tu2tpgtdi2tv" Type="http://schemas.openxmlformats.org/officeDocument/2006/relationships/hyperlink" Target="https://dalil.kg/document/230032503" TargetMode="External"/><Relationship Id="rIddvgzdjxpfnnb5nsjqmxkm" Type="http://schemas.openxmlformats.org/officeDocument/2006/relationships/hyperlink" Target="https://dalil.kg/document/230032503" TargetMode="External"/><Relationship Id="rIdzt92oxqtnbguf-2tsdhgv" Type="http://schemas.openxmlformats.org/officeDocument/2006/relationships/hyperlink" Target="https://dalil.kg/document/230032503" TargetMode="External"/><Relationship Id="rId66r8gvir4vbz1mxeavpw-" Type="http://schemas.openxmlformats.org/officeDocument/2006/relationships/hyperlink" Target="https://dalil.kg/document/94334#r6" TargetMode="External"/><Relationship Id="rId7vqfzd6a18zakpdapsmea" Type="http://schemas.openxmlformats.org/officeDocument/2006/relationships/hyperlink" Target="https://dalil.kg/document/94177" TargetMode="External"/><Relationship Id="rIddmdn25dd7jq-joigz6nrn" Type="http://schemas.openxmlformats.org/officeDocument/2006/relationships/hyperlink" Target="https://dalil.kg/document/94334" TargetMode="External"/><Relationship Id="rIdzqvjunljxckq0lnm0idht" Type="http://schemas.openxmlformats.org/officeDocument/2006/relationships/hyperlink" Target="https://dalil.kg/document/230032503" TargetMode="External"/><Relationship Id="rId8" Type="http://schemas.openxmlformats.org/officeDocument/2006/relationships/image" Target="media/8de64316e95979c063c17bcd5380dc052a2594e9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kerxt3gxkunegkfj3eb" Type="http://schemas.openxmlformats.org/officeDocument/2006/relationships/hyperlink" Target="https://dalil.kg/document/230009757" TargetMode="External"/><Relationship Id="rId7yvcjvpz9nlyiefyjaw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2026-09-25T03:28:01.250Z</dcterms:created>
  <dcterms:modified xsi:type="dcterms:W3CDTF">2026-09-25T03:28:01.250Z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