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3 июля 2024 года № 351</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вопросах Министерства энергетики Кыргызской Республики" от 15 ноября 2021 года № 247</w:t>
      </w:r>
    </w:p>
    <w:p>
      <w:pPr>
        <w:spacing w:after="60"/>
        <w:ind w:firstLine="567"/>
        <w:jc w:val="both"/>
      </w:pPr>
      <w:r>
        <w:rPr>
          <w:rFonts w:ascii="Arial" w:cs="Arial" w:eastAsia="Arial" w:hAnsi="Arial"/>
          <w:sz w:val="24"/>
          <w:szCs w:val="24"/>
        </w:rPr>
        <w:t xml:space="preserve">В целях обеспечения единой системы управления государственными предприятиями и осуществления контроля финансово-хозяйственной деятельности государственных предприятий и эффективности использования закрепленного за ними имущества, в соответствии со статьями </w:t>
      </w:r>
      <w:hyperlink w:history="1" r:id="rIdhl1vofssveem3fgsz5xe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zehrpdzzbir-m299hzhx">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hjbjapjis3btoixvfl7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энергетики Кыргызской Республики" от 15 ноября 2021 года № 247 следующие изменения:</w:t>
      </w:r>
    </w:p>
    <w:p>
      <w:pPr>
        <w:spacing w:after="60"/>
        <w:ind w:firstLine="567"/>
        <w:jc w:val="both"/>
      </w:pPr>
      <w:r>
        <w:rPr>
          <w:rFonts w:ascii="Arial" w:cs="Arial" w:eastAsia="Arial" w:hAnsi="Arial"/>
          <w:sz w:val="24"/>
          <w:szCs w:val="24"/>
        </w:rPr>
        <w:t xml:space="preserve">в </w:t>
      </w:r>
      <w:hyperlink w:history="1" r:id="rIdu2jwio8vhrl66aqttyyr7">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энергетики Кыргызской Республики, утвержденном вышеуказанным </w:t>
      </w:r>
      <w:hyperlink w:history="1" r:id="rIdtrb7sfpr5k24_h6wooq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абзац семнадцатый подпункта 1 изложить в следующей редакции:</w:t>
      </w:r>
    </w:p>
    <w:p>
      <w:pPr>
        <w:spacing w:after="60"/>
        <w:ind w:firstLine="567"/>
        <w:jc w:val="both"/>
      </w:pPr>
      <w:r>
        <w:rPr>
          <w:rFonts w:ascii="Arial" w:cs="Arial" w:eastAsia="Arial" w:hAnsi="Arial"/>
          <w:sz w:val="24"/>
          <w:szCs w:val="24"/>
        </w:rPr>
        <w:t xml:space="preserve">"- выступает от лица государства в качестве органа, управляющего акциями в открытом акционерном обществе "Национальная электрическая сеть Кыргызстана", открытом акционерном обществе "Электрические станции", открытом акционерном обществе "Дирекция строящихся электростанций", открытом акционерном обществе "Кыргызский энергетический расчетный центр", открытом акционерном обществе "Чакан ГЭС", открытом акционерном обществе "Нарынгидроэнергострой", открытом акционерном обществе "Нарынспецгидроэнергомонтаж";";</w:t>
      </w:r>
    </w:p>
    <w:p>
      <w:pPr>
        <w:spacing w:after="60"/>
        <w:ind w:firstLine="567"/>
        <w:jc w:val="both"/>
      </w:pPr>
      <w:r>
        <w:rPr>
          <w:rFonts w:ascii="Arial" w:cs="Arial" w:eastAsia="Arial" w:hAnsi="Arial"/>
          <w:sz w:val="24"/>
          <w:szCs w:val="24"/>
        </w:rPr>
        <w:t xml:space="preserve">подпункт 6 дополнить абзацем следующего содержания:</w:t>
      </w:r>
    </w:p>
    <w:p>
      <w:pPr>
        <w:spacing w:after="60"/>
        <w:ind w:firstLine="567"/>
        <w:jc w:val="both"/>
      </w:pPr>
      <w:r>
        <w:rPr>
          <w:rFonts w:ascii="Arial" w:cs="Arial" w:eastAsia="Arial" w:hAnsi="Arial"/>
          <w:sz w:val="24"/>
          <w:szCs w:val="24"/>
        </w:rPr>
        <w:t xml:space="preserve">"- обеспечивает формирование резерва кадров кандидатов в органы управления хозяйственных обществ, а также определяет порядок проведения отбора в резерв кадров и выдвижения кандидатов на должность государственного представителя.";</w:t>
      </w:r>
    </w:p>
    <w:p>
      <w:pPr>
        <w:spacing w:after="60"/>
        <w:ind w:firstLine="567"/>
        <w:jc w:val="both"/>
      </w:pPr>
      <w:r>
        <w:rPr>
          <w:rFonts w:ascii="Arial" w:cs="Arial" w:eastAsia="Arial" w:hAnsi="Arial"/>
          <w:sz w:val="24"/>
          <w:szCs w:val="24"/>
        </w:rPr>
        <w:t xml:space="preserve">- абзацы восьмой, девятый пункта 11 изложить в следующей редакции:</w:t>
      </w:r>
    </w:p>
    <w:p>
      <w:pPr>
        <w:spacing w:after="60"/>
        <w:ind w:firstLine="567"/>
        <w:jc w:val="both"/>
      </w:pPr>
      <w:r>
        <w:rPr>
          <w:rFonts w:ascii="Arial" w:cs="Arial" w:eastAsia="Arial" w:hAnsi="Arial"/>
          <w:sz w:val="24"/>
          <w:szCs w:val="24"/>
        </w:rPr>
        <w:t xml:space="preserve">"- вносить предложения по кандидатурам для избрания в органы управления открытого акционерного общества "Национальная электрическая сеть Кыргызстана", открытого акционерного общества "Электрические станции", открытого акционерного общества "Дирекция строящихся электростанций", открытого акционерного общества "Кыргызский энергетический расчетный центр", открытого акционерного общества "Чакан ГЭС", открытого акционерного общества "Нарынгидроэнергострой", открытого акционерного общества "Нарынспецгидроэнергомонтаж";</w:t>
      </w:r>
    </w:p>
    <w:p>
      <w:pPr>
        <w:spacing w:after="60"/>
        <w:ind w:firstLine="567"/>
        <w:jc w:val="both"/>
      </w:pPr>
      <w:r>
        <w:rPr>
          <w:rFonts w:ascii="Arial" w:cs="Arial" w:eastAsia="Arial" w:hAnsi="Arial"/>
          <w:sz w:val="24"/>
          <w:szCs w:val="24"/>
        </w:rPr>
        <w:t xml:space="preserve">- выступать от имени государства акционером в открытом акционерном обществе "Национальная электрическая сеть Кыргызстана", открытом акционерном обществе "Электрические станции", открытом акционерном обществе "Дирекция строящихся электростанций", открытом акционерном обществе "Кыргызский энергетический расчетный центр", открытом акционерном обществе "Чакан ГЭС", открытом акционерном обществе "Нарынгидроэнергострой", открытом акционерном обществе "Нарынспецгидроэнергомонтаж";".</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Опубликовано в официальной государственной газете «Эркин-Тоо» от 9 июля 2024 года № 51 (3604)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l1vofssveem3fgsz5xet" Type="http://schemas.openxmlformats.org/officeDocument/2006/relationships/hyperlink" Target="http://kodeks.duckdns.org/document/112301#st_13" TargetMode="External"/><Relationship Id="rIdwzehrpdzzbir-m299hzhx" Type="http://schemas.openxmlformats.org/officeDocument/2006/relationships/hyperlink" Target="http://kodeks.duckdns.org/document/112301#st_17" TargetMode="External"/><Relationship Id="rIdhjbjapjis3btoixvfl7ib" Type="http://schemas.openxmlformats.org/officeDocument/2006/relationships/hyperlink" Target="http://kodeks.duckdns.org/document/158674" TargetMode="External"/><Relationship Id="rIdu2jwio8vhrl66aqttyyr7" Type="http://schemas.openxmlformats.org/officeDocument/2006/relationships/hyperlink" Target="http://kodeks.duckdns.org/document/158683" TargetMode="External"/><Relationship Id="rIdtrb7sfpr5k24_h6wooqsr" Type="http://schemas.openxmlformats.org/officeDocument/2006/relationships/hyperlink" Target="http://kodeks.duckdns.org/document/158674"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2026-09-23T06:12:24.179Z</dcterms:created>
  <dcterms:modified xsi:type="dcterms:W3CDTF">2026-09-23T06:12:24.179Z</dcterms:modified>
</cp:coreProperties>
</file>

<file path=docProps/custom.xml><?xml version="1.0" encoding="utf-8"?>
<Properties xmlns="http://schemas.openxmlformats.org/officeDocument/2006/custom-properties" xmlns:vt="http://schemas.openxmlformats.org/officeDocument/2006/docPropsVTypes"/>
</file>