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7 июня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301</w:t>
      </w:r>
    </w:p>
    <w:p>
      <w:pPr>
        <w:spacing w:after="48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в сфере защиты депозитов</w:t>
      </w:r>
    </w:p>
    <w:p>
      <w:pPr>
        <w:spacing w:after="120"/>
        <w:ind w:firstLine="397"/>
        <w:jc w:val="both"/>
      </w:pPr>
      <w:r>
        <w:rPr>
          <w:rFonts w:ascii="Arial" w:cs="Arial" w:eastAsia="Arial" w:hAnsi="Arial"/>
          <w:sz w:val="24"/>
          <w:szCs w:val="24"/>
        </w:rPr>
        <w:t xml:space="preserve">В целях приведения решений Правительства Кыргызской Республики в соответствие с </w:t>
      </w:r>
      <w:hyperlink w:history="1" r:id="rIdeaq52wtxgxknspyitbim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 в соответствии со статьями </w:t>
      </w:r>
      <w:hyperlink w:history="1" r:id="rIdwkhupzvuwkojdumqos3n6">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0b192hc2tqvht0aq-ljs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4g_kpvwukjyhwj3sh_pu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9mrcz83zlrg0bj5qqs_h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расчета взносов в Фонд защиты депозитов» от 11 декабря 2008 года № 687 следующие изменения:</w:t>
      </w:r>
    </w:p>
    <w:p>
      <w:pPr>
        <w:spacing w:after="120"/>
        <w:ind w:firstLine="397"/>
        <w:jc w:val="both"/>
      </w:pPr>
      <w:r>
        <w:rPr>
          <w:rFonts w:ascii="Arial" w:cs="Arial" w:eastAsia="Arial" w:hAnsi="Arial"/>
          <w:sz w:val="24"/>
          <w:szCs w:val="24"/>
        </w:rPr>
        <w:t xml:space="preserve">в </w:t>
      </w:r>
      <w:hyperlink w:history="1" r:id="rIdlxg3epqne1k6s23nwxigm">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расчета взносов в Фонд защиты депозитов, утвержденном вышеуказанным </w:t>
      </w:r>
      <w:hyperlink w:history="1" r:id="rIdun6r_eyfzaa25vaskrzu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пункте 1.1 слова «с законами Кыргызской Республики «</w:t>
      </w:r>
      <w:hyperlink w:history="1" r:id="rId-ojnax9o3a658nhkevwnn">
        <w:r>
          <w:rPr>
            <w:rFonts w:ascii="Arial" w:cs="Arial" w:eastAsia="Arial" w:hAnsi="Arial"/>
            <w:color w:val="1D4ED8"/>
            <w:sz w:val="24"/>
            <w:szCs w:val="24"/>
            <w:u w:val="single"/>
          </w:rPr>
          <w:t xml:space="preserve">О защите банковских вкладов (депозитов)</w:t>
        </w:r>
      </w:hyperlink>
      <w:r>
        <w:rPr>
          <w:rFonts w:ascii="Arial" w:cs="Arial" w:eastAsia="Arial" w:hAnsi="Arial"/>
          <w:sz w:val="24"/>
          <w:szCs w:val="24"/>
        </w:rPr>
        <w:t xml:space="preserve">», «</w:t>
      </w:r>
      <w:hyperlink w:history="1" r:id="rIdp8wyvmnz2veoer9fanust">
        <w:r>
          <w:rPr>
            <w:rFonts w:ascii="Arial" w:cs="Arial" w:eastAsia="Arial" w:hAnsi="Arial"/>
            <w:color w:val="1D4ED8"/>
            <w:sz w:val="24"/>
            <w:szCs w:val="24"/>
            <w:u w:val="single"/>
          </w:rPr>
          <w:t xml:space="preserve">О Национальном банке Кыргызской Республики, банках и банковской деятельности</w:t>
        </w:r>
      </w:hyperlink>
      <w:r>
        <w:rPr>
          <w:rFonts w:ascii="Arial" w:cs="Arial" w:eastAsia="Arial" w:hAnsi="Arial"/>
          <w:sz w:val="24"/>
          <w:szCs w:val="24"/>
        </w:rPr>
        <w:t xml:space="preserve">» заменить словами «с </w:t>
      </w:r>
      <w:hyperlink w:history="1" r:id="rIdhdi4r4ve4vihrzlnxuz5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 </w:t>
      </w:r>
      <w:hyperlink w:history="1" r:id="rIdcqsrrhxk1-94noba5bct5">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Национальном банке Кыргызской Республики»;</w:t>
      </w:r>
    </w:p>
    <w:p>
      <w:pPr>
        <w:spacing w:after="120"/>
        <w:ind w:firstLine="397"/>
        <w:jc w:val="both"/>
      </w:pPr>
      <w:r>
        <w:rPr>
          <w:rFonts w:ascii="Arial" w:cs="Arial" w:eastAsia="Arial" w:hAnsi="Arial"/>
          <w:sz w:val="24"/>
          <w:szCs w:val="24"/>
        </w:rPr>
        <w:t xml:space="preserve">- в пункте 2.8:</w:t>
      </w:r>
    </w:p>
    <w:p>
      <w:pPr>
        <w:spacing w:after="120"/>
        <w:ind w:firstLine="397"/>
        <w:jc w:val="both"/>
      </w:pPr>
      <w:r>
        <w:rPr>
          <w:rFonts w:ascii="Arial" w:cs="Arial" w:eastAsia="Arial" w:hAnsi="Arial"/>
          <w:sz w:val="24"/>
          <w:szCs w:val="24"/>
        </w:rPr>
        <w:t xml:space="preserve">после слова «лиц» дополнить словами «, индивидуальных предпринимателей и счетах электронных денег, эмитируемых банком, держателями которых являются физические лица и индивидуальные предприниматели»;</w:t>
      </w:r>
    </w:p>
    <w:p>
      <w:pPr>
        <w:spacing w:after="120"/>
        <w:ind w:firstLine="397"/>
        <w:jc w:val="both"/>
      </w:pPr>
      <w:r>
        <w:rPr>
          <w:rFonts w:ascii="Arial" w:cs="Arial" w:eastAsia="Arial" w:hAnsi="Arial"/>
          <w:sz w:val="24"/>
          <w:szCs w:val="24"/>
        </w:rPr>
        <w:t xml:space="preserve">слово «учетный» заменить словом «официальный».</w:t>
      </w:r>
    </w:p>
    <w:p>
      <w:pPr>
        <w:spacing w:after="120"/>
        <w:ind w:firstLine="397"/>
        <w:jc w:val="both"/>
      </w:pPr>
      <w:r>
        <w:rPr>
          <w:rFonts w:ascii="Arial" w:cs="Arial" w:eastAsia="Arial" w:hAnsi="Arial"/>
          <w:sz w:val="24"/>
          <w:szCs w:val="24"/>
        </w:rPr>
        <w:t xml:space="preserve">2. Внести в </w:t>
      </w:r>
      <w:hyperlink w:history="1" r:id="rIdikntarojnxdiwkbpvo9t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zcl1p8njw7pnwzfj9iokn">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форме отчетности банка-участника, микрофинансовой компании-участника, жилищно-сберегательной кредитной компании-участника системы защиты депозитов, представляемой Агентству по защите депозитов Кыргызской Республики» от 25 ноября 2010 года № 297 следующие изменения:</w:t>
      </w:r>
    </w:p>
    <w:p>
      <w:pPr>
        <w:spacing w:after="120"/>
        <w:ind w:firstLine="397"/>
        <w:jc w:val="both"/>
      </w:pPr>
      <w:r>
        <w:rPr>
          <w:rFonts w:ascii="Arial" w:cs="Arial" w:eastAsia="Arial" w:hAnsi="Arial"/>
          <w:sz w:val="24"/>
          <w:szCs w:val="24"/>
        </w:rPr>
        <w:t xml:space="preserve">в </w:t>
      </w:r>
      <w:hyperlink w:history="1" r:id="rIdfezkdyhkvhfz6g4n3cac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форме отчетности банка-участника, микрофинансовой компании-участника, жилищно-сберегательной кредитной компании-участника системы защиты депозитов, представляемой Агентству по защите депозитов Кыргызской Республики, утвержденной вышеуказанным </w:t>
      </w:r>
      <w:hyperlink w:history="1" r:id="rIdvddmp0tjxmb3in3uhpbw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hyperlink w:history="1" r:id="rIdbrj-u2hufvkeietvmligy">
        <w:r>
          <w:rPr>
            <w:rFonts w:ascii="Arial" w:cs="Arial" w:eastAsia="Arial" w:hAnsi="Arial"/>
            <w:color w:val="1D4ED8"/>
            <w:sz w:val="24"/>
            <w:szCs w:val="24"/>
            <w:u w:val="single"/>
          </w:rPr>
          <w:t xml:space="preserve">пункт 17</w:t>
        </w:r>
      </w:hyperlink>
      <w:r>
        <w:rPr>
          <w:rFonts w:ascii="Arial" w:cs="Arial" w:eastAsia="Arial" w:hAnsi="Arial"/>
          <w:sz w:val="24"/>
          <w:szCs w:val="24"/>
        </w:rPr>
        <w:t xml:space="preserve"> после слов «срочные депозиты юридических лиц и индивидуальных предпринимателей» дополнить словами «, счета электронных денег, эмитируемых банком, держателями которых являются физические лица и индивидуальные предприниматели»;</w:t>
      </w:r>
    </w:p>
    <w:p>
      <w:pPr>
        <w:spacing w:after="120"/>
        <w:ind w:firstLine="397"/>
        <w:jc w:val="both"/>
      </w:pPr>
      <w:r>
        <w:rPr>
          <w:rFonts w:ascii="Arial" w:cs="Arial" w:eastAsia="Arial" w:hAnsi="Arial"/>
          <w:sz w:val="24"/>
          <w:szCs w:val="24"/>
        </w:rPr>
        <w:t xml:space="preserve">- в пунктах </w:t>
      </w:r>
      <w:hyperlink w:history="1" r:id="rId5m8vg0la6wtzlbtkjgyxr">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ohfjuo4zzgtjihvtewl0c">
        <w:r>
          <w:rPr>
            <w:rFonts w:ascii="Arial" w:cs="Arial" w:eastAsia="Arial" w:hAnsi="Arial"/>
            <w:color w:val="1D4ED8"/>
            <w:sz w:val="24"/>
            <w:szCs w:val="24"/>
            <w:u w:val="single"/>
          </w:rPr>
          <w:t xml:space="preserve">28</w:t>
        </w:r>
      </w:hyperlink>
      <w:r>
        <w:rPr>
          <w:rFonts w:ascii="Arial" w:cs="Arial" w:eastAsia="Arial" w:hAnsi="Arial"/>
          <w:sz w:val="24"/>
          <w:szCs w:val="24"/>
        </w:rPr>
        <w:t xml:space="preserve">, </w:t>
      </w:r>
      <w:hyperlink w:history="1" r:id="rIdnolfzhoaz-rtbvca0835g">
        <w:r>
          <w:rPr>
            <w:rFonts w:ascii="Arial" w:cs="Arial" w:eastAsia="Arial" w:hAnsi="Arial"/>
            <w:color w:val="1D4ED8"/>
            <w:sz w:val="24"/>
            <w:szCs w:val="24"/>
            <w:u w:val="single"/>
          </w:rPr>
          <w:t xml:space="preserve">34</w:t>
        </w:r>
      </w:hyperlink>
      <w:r>
        <w:rPr>
          <w:rFonts w:ascii="Arial" w:cs="Arial" w:eastAsia="Arial" w:hAnsi="Arial"/>
          <w:sz w:val="24"/>
          <w:szCs w:val="24"/>
        </w:rPr>
        <w:t xml:space="preserve"> слово «учетному» заменить словом «официальному»;</w:t>
      </w:r>
    </w:p>
    <w:p>
      <w:pPr>
        <w:spacing w:after="120"/>
        <w:ind w:firstLine="397"/>
        <w:jc w:val="both"/>
      </w:pPr>
      <w:r>
        <w:rPr>
          <w:rFonts w:ascii="Arial" w:cs="Arial" w:eastAsia="Arial" w:hAnsi="Arial"/>
          <w:sz w:val="24"/>
          <w:szCs w:val="24"/>
        </w:rPr>
        <w:t xml:space="preserve">- абзацы второй и третий </w:t>
      </w:r>
      <w:hyperlink w:history="1" r:id="rIdylfwmuily00bbkbttix13">
        <w:r>
          <w:rPr>
            <w:rFonts w:ascii="Arial" w:cs="Arial" w:eastAsia="Arial" w:hAnsi="Arial"/>
            <w:color w:val="1D4ED8"/>
            <w:sz w:val="24"/>
            <w:szCs w:val="24"/>
            <w:u w:val="single"/>
          </w:rPr>
          <w:t xml:space="preserve">пункта 22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«В позицию «Сумма депозитов физических лиц, тысяч сомов» включаются депозитные счета физических лиц, счета электронных денег, эмитируемых банком, держателями которых являются физические лица согласно утвержденному Плану счетов бухгалтерского учета банка, МФК, ЖСКК.</w:t>
      </w:r>
    </w:p>
    <w:p>
      <w:pPr>
        <w:spacing w:after="120"/>
        <w:ind w:firstLine="397"/>
        <w:jc w:val="both"/>
      </w:pPr>
      <w:r>
        <w:rPr>
          <w:rFonts w:ascii="Arial" w:cs="Arial" w:eastAsia="Arial" w:hAnsi="Arial"/>
          <w:sz w:val="24"/>
          <w:szCs w:val="24"/>
        </w:rPr>
        <w:t xml:space="preserve">В позицию «Сумма депозитов индивидуальных предпринимателей, тысяч сомов» включаются депозитные счета индивидуальных предпринимателей, счета электронных денег, эмитируемых банком, держателями которых являются индивидуальные предприниматели согласно утвержденному Плану счетов бухгалтерского учета банка, МФК, ЖСКК.»;</w:t>
      </w:r>
    </w:p>
    <w:p>
      <w:pPr>
        <w:spacing w:after="120"/>
        <w:ind w:firstLine="397"/>
        <w:jc w:val="both"/>
      </w:pPr>
      <w:r>
        <w:rPr>
          <w:rFonts w:ascii="Arial" w:cs="Arial" w:eastAsia="Arial" w:hAnsi="Arial"/>
          <w:sz w:val="24"/>
          <w:szCs w:val="24"/>
        </w:rPr>
        <w:t xml:space="preserve">- </w:t>
      </w:r>
      <w:hyperlink w:history="1" r:id="rIdwnhzidhfx3qenyakiubsc">
        <w:r>
          <w:rPr>
            <w:rFonts w:ascii="Arial" w:cs="Arial" w:eastAsia="Arial" w:hAnsi="Arial"/>
            <w:color w:val="1D4ED8"/>
            <w:sz w:val="24"/>
            <w:szCs w:val="24"/>
            <w:u w:val="single"/>
          </w:rPr>
          <w:t xml:space="preserve">пункт 26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«26. В графе 12 указывается общая сумма задолженности перед юридическими, физическими лицами и индивидуальными предпринимателями, которая определяется как сумма значений граф 2-11. В графах, входящих в строку «Размер депозита», делается группировка по совокупному объему задолженности перед каждым вкладчиком (клиентом) на отчетную дату:</w:t>
      </w:r>
    </w:p>
    <w:p>
      <w:pPr>
        <w:spacing w:after="120"/>
        <w:ind w:firstLine="397"/>
        <w:jc w:val="both"/>
      </w:pPr>
      <w:r>
        <w:rPr>
          <w:rFonts w:ascii="Arial" w:cs="Arial" w:eastAsia="Arial" w:hAnsi="Arial"/>
          <w:sz w:val="24"/>
          <w:szCs w:val="24"/>
        </w:rPr>
        <w:t xml:space="preserve">- до 1 000 сомов;</w:t>
      </w:r>
    </w:p>
    <w:p>
      <w:pPr>
        <w:spacing w:after="120"/>
        <w:ind w:firstLine="397"/>
        <w:jc w:val="both"/>
      </w:pPr>
      <w:r>
        <w:rPr>
          <w:rFonts w:ascii="Arial" w:cs="Arial" w:eastAsia="Arial" w:hAnsi="Arial"/>
          <w:sz w:val="24"/>
          <w:szCs w:val="24"/>
        </w:rPr>
        <w:t xml:space="preserve">- до 100 000 сомов;</w:t>
      </w:r>
    </w:p>
    <w:p>
      <w:pPr>
        <w:spacing w:after="120"/>
        <w:ind w:firstLine="397"/>
        <w:jc w:val="both"/>
      </w:pPr>
      <w:r>
        <w:rPr>
          <w:rFonts w:ascii="Arial" w:cs="Arial" w:eastAsia="Arial" w:hAnsi="Arial"/>
          <w:sz w:val="24"/>
          <w:szCs w:val="24"/>
        </w:rPr>
        <w:t xml:space="preserve">- до 200 000 сомов;</w:t>
      </w:r>
    </w:p>
    <w:p>
      <w:pPr>
        <w:spacing w:after="120"/>
        <w:ind w:firstLine="397"/>
        <w:jc w:val="both"/>
      </w:pPr>
      <w:r>
        <w:rPr>
          <w:rFonts w:ascii="Arial" w:cs="Arial" w:eastAsia="Arial" w:hAnsi="Arial"/>
          <w:sz w:val="24"/>
          <w:szCs w:val="24"/>
        </w:rPr>
        <w:t xml:space="preserve">- до 500 000 сомов;</w:t>
      </w:r>
    </w:p>
    <w:p>
      <w:pPr>
        <w:spacing w:after="120"/>
        <w:ind w:firstLine="397"/>
        <w:jc w:val="both"/>
      </w:pPr>
      <w:r>
        <w:rPr>
          <w:rFonts w:ascii="Arial" w:cs="Arial" w:eastAsia="Arial" w:hAnsi="Arial"/>
          <w:sz w:val="24"/>
          <w:szCs w:val="24"/>
        </w:rPr>
        <w:t xml:space="preserve">- до 1 000 000 сомов;</w:t>
      </w:r>
    </w:p>
    <w:p>
      <w:pPr>
        <w:spacing w:after="120"/>
        <w:ind w:firstLine="397"/>
        <w:jc w:val="both"/>
      </w:pPr>
      <w:r>
        <w:rPr>
          <w:rFonts w:ascii="Arial" w:cs="Arial" w:eastAsia="Arial" w:hAnsi="Arial"/>
          <w:sz w:val="24"/>
          <w:szCs w:val="24"/>
        </w:rPr>
        <w:t xml:space="preserve">- до 1 200 000 сомов;</w:t>
      </w:r>
    </w:p>
    <w:p>
      <w:pPr>
        <w:spacing w:after="120"/>
        <w:ind w:firstLine="397"/>
        <w:jc w:val="both"/>
      </w:pPr>
      <w:r>
        <w:rPr>
          <w:rFonts w:ascii="Arial" w:cs="Arial" w:eastAsia="Arial" w:hAnsi="Arial"/>
          <w:sz w:val="24"/>
          <w:szCs w:val="24"/>
        </w:rPr>
        <w:t xml:space="preserve">- до 1 500 000 сомов;</w:t>
      </w:r>
    </w:p>
    <w:p>
      <w:pPr>
        <w:spacing w:after="120"/>
        <w:ind w:firstLine="397"/>
        <w:jc w:val="both"/>
      </w:pPr>
      <w:r>
        <w:rPr>
          <w:rFonts w:ascii="Arial" w:cs="Arial" w:eastAsia="Arial" w:hAnsi="Arial"/>
          <w:sz w:val="24"/>
          <w:szCs w:val="24"/>
        </w:rPr>
        <w:t xml:space="preserve">- до 1 800 000 сомов;</w:t>
      </w:r>
    </w:p>
    <w:p>
      <w:pPr>
        <w:spacing w:after="120"/>
        <w:ind w:firstLine="397"/>
        <w:jc w:val="both"/>
      </w:pPr>
      <w:r>
        <w:rPr>
          <w:rFonts w:ascii="Arial" w:cs="Arial" w:eastAsia="Arial" w:hAnsi="Arial"/>
          <w:sz w:val="24"/>
          <w:szCs w:val="24"/>
        </w:rPr>
        <w:t xml:space="preserve">- до 2 000 000 сомов;</w:t>
      </w:r>
    </w:p>
    <w:p>
      <w:pPr>
        <w:spacing w:after="120"/>
        <w:ind w:firstLine="397"/>
        <w:jc w:val="both"/>
      </w:pPr>
      <w:r>
        <w:rPr>
          <w:rFonts w:ascii="Arial" w:cs="Arial" w:eastAsia="Arial" w:hAnsi="Arial"/>
          <w:sz w:val="24"/>
          <w:szCs w:val="24"/>
        </w:rPr>
        <w:t xml:space="preserve">- до 2 500 000 сомов.»;</w:t>
      </w:r>
    </w:p>
    <w:p>
      <w:pPr>
        <w:spacing w:after="120"/>
        <w:ind w:firstLine="397"/>
        <w:jc w:val="both"/>
      </w:pPr>
      <w:r>
        <w:rPr>
          <w:rFonts w:ascii="Arial" w:cs="Arial" w:eastAsia="Arial" w:hAnsi="Arial"/>
          <w:sz w:val="24"/>
          <w:szCs w:val="24"/>
        </w:rPr>
        <w:t xml:space="preserve">- </w:t>
      </w:r>
      <w:hyperlink w:history="1" r:id="rIdvpqmayoxarx0spjcajgpy">
        <w:r>
          <w:rPr>
            <w:rFonts w:ascii="Arial" w:cs="Arial" w:eastAsia="Arial" w:hAnsi="Arial"/>
            <w:color w:val="1D4ED8"/>
            <w:sz w:val="24"/>
            <w:szCs w:val="24"/>
            <w:u w:val="single"/>
          </w:rPr>
          <w:t xml:space="preserve">пункт 27</w:t>
        </w:r>
      </w:hyperlink>
      <w:r>
        <w:rPr>
          <w:rFonts w:ascii="Arial" w:cs="Arial" w:eastAsia="Arial" w:hAnsi="Arial"/>
          <w:sz w:val="24"/>
          <w:szCs w:val="24"/>
        </w:rPr>
        <w:t xml:space="preserve"> после слов «физических лиц,» дополнить словами «индивидуальных предпринимателей,»;</w:t>
      </w:r>
    </w:p>
    <w:p>
      <w:pPr>
        <w:spacing w:after="120"/>
        <w:ind w:firstLine="397"/>
        <w:jc w:val="both"/>
      </w:pPr>
      <w:r>
        <w:rPr>
          <w:rFonts w:ascii="Arial" w:cs="Arial" w:eastAsia="Arial" w:hAnsi="Arial"/>
          <w:sz w:val="24"/>
          <w:szCs w:val="24"/>
        </w:rPr>
        <w:t xml:space="preserve">- </w:t>
      </w:r>
      <w:hyperlink w:history="1" r:id="rId4w4oc1phdcxfi7jxycwwj">
        <w:r>
          <w:rPr>
            <w:rFonts w:ascii="Arial" w:cs="Arial" w:eastAsia="Arial" w:hAnsi="Arial"/>
            <w:color w:val="1D4ED8"/>
            <w:sz w:val="24"/>
            <w:szCs w:val="24"/>
            <w:u w:val="single"/>
          </w:rPr>
          <w:t xml:space="preserve">пункт 32</w:t>
        </w:r>
      </w:hyperlink>
      <w:r>
        <w:rPr>
          <w:rFonts w:ascii="Arial" w:cs="Arial" w:eastAsia="Arial" w:hAnsi="Arial"/>
          <w:sz w:val="24"/>
          <w:szCs w:val="24"/>
        </w:rPr>
        <w:t xml:space="preserve"> после слова «предпринимателей,» дополнить словами «счетов электронных денег, эмитируемых банком, держателями которых являются физические лица и индивидуальные предприниматели,»;</w:t>
      </w:r>
    </w:p>
    <w:p>
      <w:pPr>
        <w:spacing w:after="120"/>
        <w:ind w:firstLine="397"/>
        <w:jc w:val="both"/>
      </w:pPr>
      <w:r>
        <w:rPr>
          <w:rFonts w:ascii="Arial" w:cs="Arial" w:eastAsia="Arial" w:hAnsi="Arial"/>
          <w:sz w:val="24"/>
          <w:szCs w:val="24"/>
        </w:rPr>
        <w:t xml:space="preserve">- </w:t>
      </w:r>
      <w:hyperlink w:history="1" r:id="rIdvlleowleu85on2khv-ipp">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вышеуказанной </w:t>
      </w:r>
      <w:hyperlink w:history="1" r:id="rIdopewcgfwbs-k_rqth2wo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изложить в редакции согласно </w:t>
      </w:r>
      <w:hyperlink w:history="1" r:id="rId-5rubntfmhqwpyvs_7cyh">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w:t>
      </w:r>
      <w:hyperlink w:history="1" r:id="rIdvpehiw0xdcecs8w1roolq">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w:t>
      </w:r>
      <w:hyperlink w:history="1" r:id="rId87ljb_ppzq0khgvcjrkei">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вышеуказанной </w:t>
      </w:r>
      <w:hyperlink w:history="1" r:id="rIdcyqnhykxrjv0w7aeurxld">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строку первую таблицы «Сведения о депозитах юридических, физических лиц и индивидуальных предпринимателей с разбивкой по суммам (нарастающим итогом)»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9"/>
        <w:gridCol w:w="709"/>
        <w:gridCol w:w="709"/>
        <w:gridCol w:w="709"/>
        <w:gridCol w:w="709"/>
        <w:gridCol w:w="709"/>
        <w:gridCol w:w="709"/>
        <w:gridCol w:w="709"/>
        <w:gridCol w:w="709"/>
        <w:gridCol w:w="709"/>
        <w:gridCol w:w="709"/>
        <w:gridCol w:w="709"/>
        <w:gridCol w:w="709"/>
      </w:tblGrid>
      <w:tr>
        <w:tc>
          <w:tcPr>
            <w:tcW w:type="dxa" w:w="1669"/>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w:t>
            </w:r>
          </w:p>
        </w:tc>
        <w:tc>
          <w:tcPr>
            <w:tcW w:type="dxa" w:w="8508"/>
            <w:gridSpan w:val="1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6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Размер</w:t>
            </w:r>
          </w:p>
          <w:p>
            <w:pPr>
              <w:jc w:val="center"/>
            </w:pPr>
            <w:r>
              <w:rPr>
                <w:rFonts w:ascii="Arial" w:cs="Arial" w:eastAsia="Arial" w:hAnsi="Arial"/>
                <w:sz w:val="24"/>
                <w:szCs w:val="24"/>
              </w:rPr>
              <w:t xml:space="preserve">депозита</w:t>
            </w:r>
          </w:p>
        </w:tc>
        <w:tc>
          <w:tcPr>
            <w:tcW w:type="dxa" w:w="7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1 000</w:t>
            </w:r>
          </w:p>
        </w:tc>
        <w:tc>
          <w:tcPr>
            <w:tcW w:type="dxa" w:w="7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100 000</w:t>
            </w:r>
          </w:p>
        </w:tc>
        <w:tc>
          <w:tcPr>
            <w:tcW w:type="dxa" w:w="7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200 000</w:t>
            </w:r>
          </w:p>
        </w:tc>
        <w:tc>
          <w:tcPr>
            <w:tcW w:type="dxa" w:w="7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500 000</w:t>
            </w:r>
          </w:p>
        </w:tc>
        <w:tc>
          <w:tcPr>
            <w:tcW w:type="dxa" w:w="7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000 000</w:t>
            </w:r>
          </w:p>
        </w:tc>
        <w:tc>
          <w:tcPr>
            <w:tcW w:type="dxa" w:w="7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200 000</w:t>
            </w:r>
          </w:p>
        </w:tc>
        <w:tc>
          <w:tcPr>
            <w:tcW w:type="dxa" w:w="7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500 000</w:t>
            </w:r>
          </w:p>
        </w:tc>
        <w:tc>
          <w:tcPr>
            <w:tcW w:type="dxa" w:w="7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800 000</w:t>
            </w:r>
          </w:p>
        </w:tc>
        <w:tc>
          <w:tcPr>
            <w:tcW w:type="dxa" w:w="7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r>
              <w:rPr>
                <w:rFonts w:ascii="Arial" w:cs="Arial" w:eastAsia="Arial" w:hAnsi="Arial"/>
                <w:sz w:val="24"/>
                <w:szCs w:val="24"/>
              </w:rPr>
              <w:t xml:space="preserve">000 000</w:t>
            </w:r>
          </w:p>
        </w:tc>
        <w:tc>
          <w:tcPr>
            <w:tcW w:type="dxa" w:w="7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r>
              <w:rPr>
                <w:rFonts w:ascii="Arial" w:cs="Arial" w:eastAsia="Arial" w:hAnsi="Arial"/>
                <w:sz w:val="24"/>
                <w:szCs w:val="24"/>
              </w:rPr>
              <w:t xml:space="preserve">500 000</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p>
            <w:pPr>
              <w:jc w:val="center"/>
            </w:pPr>
            <w:r>
              <w:rPr>
                <w:rFonts w:ascii="Arial" w:cs="Arial" w:eastAsia="Arial" w:hAnsi="Arial"/>
                <w:sz w:val="24"/>
                <w:szCs w:val="24"/>
              </w:rPr>
              <w:t xml:space="preserve">депозиты</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Начисленные</w:t>
            </w:r>
          </w:p>
          <w:p>
            <w:pPr>
              <w:jc w:val="center"/>
            </w:pPr>
            <w:r>
              <w:rPr>
                <w:rFonts w:ascii="Arial" w:cs="Arial" w:eastAsia="Arial" w:hAnsi="Arial"/>
                <w:sz w:val="24"/>
                <w:szCs w:val="24"/>
              </w:rPr>
              <w:t xml:space="preserve">проценты по</w:t>
            </w:r>
          </w:p>
          <w:p>
            <w:pPr>
              <w:jc w:val="center"/>
            </w:pPr>
            <w:r>
              <w:rPr>
                <w:rFonts w:ascii="Arial" w:cs="Arial" w:eastAsia="Arial" w:hAnsi="Arial"/>
                <w:sz w:val="24"/>
                <w:szCs w:val="24"/>
              </w:rPr>
              <w:t xml:space="preserve">депозитам</w:t>
            </w:r>
          </w:p>
        </w:tc>
      </w:tr>
      <w:tr>
        <w:tc>
          <w:tcPr>
            <w:tcW w:type="dxa" w:w="9468"/>
            <w:gridSpan w:val="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14 июня 2024 года № 45 (3598)</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3sqx4trgxofs-qejtcxgi">
        <w:r>
          <w:rPr>
            <w:rFonts w:ascii="Arial" w:cs="Arial" w:eastAsia="Arial" w:hAnsi="Arial"/>
            <w:color w:val="1D4ED8"/>
            <w:sz w:val="24"/>
            <w:szCs w:val="24"/>
            <w:u w:val="single"/>
          </w:rPr>
          <w:t xml:space="preserve">Приложение 1</w:t>
        </w:r>
      </w:hyperlink>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Состав</w:t>
      </w:r>
    </w:p>
    <w:p>
      <w:pPr>
        <w:spacing w:after="240" w:before="200"/>
        <w:jc w:val="center"/>
      </w:pPr>
      <w:r>
        <w:rPr>
          <w:rFonts w:ascii="Arial" w:cs="Arial" w:eastAsia="Arial" w:hAnsi="Arial"/>
          <w:b/>
          <w:bCs/>
          <w:sz w:val="32"/>
          <w:szCs w:val="32"/>
        </w:rPr>
        <w:t xml:space="preserve">отчетности банка-участника, микрофинансовой </w:t>
      </w:r>
    </w:p>
    <w:p>
      <w:pPr>
        <w:spacing w:after="240" w:before="200"/>
        <w:jc w:val="center"/>
      </w:pPr>
      <w:r>
        <w:rPr>
          <w:rFonts w:ascii="Arial" w:cs="Arial" w:eastAsia="Arial" w:hAnsi="Arial"/>
          <w:b/>
          <w:bCs/>
          <w:sz w:val="32"/>
          <w:szCs w:val="32"/>
        </w:rPr>
        <w:t xml:space="preserve">компании-участника, жилищно-сберегательной </w:t>
      </w:r>
    </w:p>
    <w:p>
      <w:pPr>
        <w:spacing w:after="240" w:before="200"/>
        <w:jc w:val="center"/>
      </w:pPr>
      <w:r>
        <w:rPr>
          <w:rFonts w:ascii="Arial" w:cs="Arial" w:eastAsia="Arial" w:hAnsi="Arial"/>
          <w:b/>
          <w:bCs/>
          <w:sz w:val="32"/>
          <w:szCs w:val="32"/>
        </w:rPr>
        <w:t xml:space="preserve">кредитной компании-участника системы защиты </w:t>
      </w:r>
    </w:p>
    <w:p>
      <w:pPr>
        <w:spacing w:after="240" w:before="200"/>
        <w:jc w:val="center"/>
      </w:pPr>
      <w:r>
        <w:rPr>
          <w:rFonts w:ascii="Arial" w:cs="Arial" w:eastAsia="Arial" w:hAnsi="Arial"/>
          <w:b/>
          <w:bCs/>
          <w:sz w:val="32"/>
          <w:szCs w:val="32"/>
        </w:rPr>
        <w:t xml:space="preserve">депозитов, представляемой Агентству по защите </w:t>
      </w:r>
    </w:p>
    <w:p>
      <w:pPr>
        <w:spacing w:after="240" w:before="200"/>
        <w:jc w:val="center"/>
      </w:pPr>
      <w:r>
        <w:rPr>
          <w:rFonts w:ascii="Arial" w:cs="Arial" w:eastAsia="Arial" w:hAnsi="Arial"/>
          <w:b/>
          <w:bCs/>
          <w:sz w:val="32"/>
          <w:szCs w:val="32"/>
        </w:rPr>
        <w:t xml:space="preserve">депозитов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6"/>
        <w:gridCol w:w="1488"/>
        <w:gridCol w:w="3432"/>
        <w:gridCol w:w="2630"/>
        <w:gridCol w:w="2062"/>
      </w:tblGrid>
      <w:tr>
        <w:tc>
          <w:tcPr>
            <w:tcW w:type="dxa" w:w="5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Приложение</w:t>
            </w:r>
          </w:p>
        </w:tc>
        <w:tc>
          <w:tcPr>
            <w:tcW w:type="dxa" w:w="34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w:t>
            </w:r>
          </w:p>
        </w:tc>
        <w:tc>
          <w:tcPr>
            <w:tcW w:type="dxa" w:w="26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Периодичность</w:t>
            </w:r>
          </w:p>
        </w:tc>
        <w:tc>
          <w:tcPr>
            <w:tcW w:type="dxa" w:w="2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информация о </w:t>
            </w:r>
          </w:p>
          <w:p>
            <w:pPr>
              <w:jc w:val="left"/>
            </w:pPr>
            <w:r>
              <w:rPr>
                <w:rFonts w:ascii="Arial" w:cs="Arial" w:eastAsia="Arial" w:hAnsi="Arial"/>
                <w:sz w:val="24"/>
                <w:szCs w:val="24"/>
              </w:rPr>
              <w:t xml:space="preserve">банке-участнике, </w:t>
            </w:r>
          </w:p>
          <w:p>
            <w:pPr>
              <w:jc w:val="left"/>
            </w:pPr>
            <w:r>
              <w:rPr>
                <w:rFonts w:ascii="Arial" w:cs="Arial" w:eastAsia="Arial" w:hAnsi="Arial"/>
                <w:sz w:val="24"/>
                <w:szCs w:val="24"/>
              </w:rPr>
              <w:t xml:space="preserve">микрофинансовой </w:t>
            </w:r>
          </w:p>
          <w:p>
            <w:pPr>
              <w:jc w:val="left"/>
            </w:pPr>
            <w:r>
              <w:rPr>
                <w:rFonts w:ascii="Arial" w:cs="Arial" w:eastAsia="Arial" w:hAnsi="Arial"/>
                <w:sz w:val="24"/>
                <w:szCs w:val="24"/>
              </w:rPr>
              <w:t xml:space="preserve">компании-участнике, </w:t>
            </w:r>
          </w:p>
          <w:p>
            <w:pPr>
              <w:jc w:val="left"/>
            </w:pPr>
            <w:r>
              <w:rPr>
                <w:rFonts w:ascii="Arial" w:cs="Arial" w:eastAsia="Arial" w:hAnsi="Arial"/>
                <w:sz w:val="24"/>
                <w:szCs w:val="24"/>
              </w:rPr>
              <w:t xml:space="preserve">жилищно-сберегательной </w:t>
            </w:r>
          </w:p>
          <w:p>
            <w:pPr>
              <w:jc w:val="left"/>
            </w:pPr>
            <w:r>
              <w:rPr>
                <w:rFonts w:ascii="Arial" w:cs="Arial" w:eastAsia="Arial" w:hAnsi="Arial"/>
                <w:sz w:val="24"/>
                <w:szCs w:val="24"/>
              </w:rPr>
              <w:t xml:space="preserve">кредитной компании-</w:t>
            </w:r>
          </w:p>
          <w:p>
            <w:pPr>
              <w:jc w:val="left"/>
            </w:pPr>
            <w:r>
              <w:rPr>
                <w:rFonts w:ascii="Arial" w:cs="Arial" w:eastAsia="Arial" w:hAnsi="Arial"/>
                <w:sz w:val="24"/>
                <w:szCs w:val="24"/>
              </w:rPr>
              <w:t xml:space="preserve">участнике системы защиты </w:t>
            </w:r>
          </w:p>
          <w:p>
            <w:pPr>
              <w:jc w:val="left"/>
            </w:pPr>
            <w:r>
              <w:rPr>
                <w:rFonts w:ascii="Arial" w:cs="Arial" w:eastAsia="Arial" w:hAnsi="Arial"/>
                <w:sz w:val="24"/>
                <w:szCs w:val="24"/>
              </w:rPr>
              <w:t xml:space="preserve">депозитов</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об ежедневных </w:t>
            </w:r>
          </w:p>
          <w:p>
            <w:pPr>
              <w:jc w:val="left"/>
            </w:pPr>
            <w:r>
              <w:rPr>
                <w:rFonts w:ascii="Arial" w:cs="Arial" w:eastAsia="Arial" w:hAnsi="Arial"/>
                <w:sz w:val="24"/>
                <w:szCs w:val="24"/>
              </w:rPr>
              <w:t xml:space="preserve">остатках депозитной базы</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депозитной базе с </w:t>
            </w:r>
          </w:p>
          <w:p>
            <w:pPr>
              <w:jc w:val="left"/>
            </w:pPr>
            <w:r>
              <w:rPr>
                <w:rFonts w:ascii="Arial" w:cs="Arial" w:eastAsia="Arial" w:hAnsi="Arial"/>
                <w:sz w:val="24"/>
                <w:szCs w:val="24"/>
              </w:rPr>
              <w:t xml:space="preserve">разбивкой по суммам </w:t>
            </w:r>
          </w:p>
          <w:p>
            <w:pPr>
              <w:jc w:val="left"/>
            </w:pPr>
            <w:r>
              <w:rPr>
                <w:rFonts w:ascii="Arial" w:cs="Arial" w:eastAsia="Arial" w:hAnsi="Arial"/>
                <w:sz w:val="24"/>
                <w:szCs w:val="24"/>
              </w:rPr>
              <w:t xml:space="preserve">(нарастающим итогом)</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депозитов по </w:t>
            </w:r>
          </w:p>
          <w:p>
            <w:pPr>
              <w:jc w:val="left"/>
            </w:pPr>
            <w:r>
              <w:rPr>
                <w:rFonts w:ascii="Arial" w:cs="Arial" w:eastAsia="Arial" w:hAnsi="Arial"/>
                <w:sz w:val="24"/>
                <w:szCs w:val="24"/>
              </w:rPr>
              <w:t xml:space="preserve">источникам привлечения </w:t>
            </w:r>
          </w:p>
          <w:p>
            <w:pPr>
              <w:jc w:val="left"/>
            </w:pPr>
            <w:r>
              <w:rPr>
                <w:rFonts w:ascii="Arial" w:cs="Arial" w:eastAsia="Arial" w:hAnsi="Arial"/>
                <w:sz w:val="24"/>
                <w:szCs w:val="24"/>
              </w:rPr>
              <w:t xml:space="preserve">в разрезе областей </w:t>
            </w:r>
          </w:p>
          <w:p>
            <w:pPr>
              <w:jc w:val="left"/>
            </w:pPr>
            <w:r>
              <w:rPr>
                <w:rFonts w:ascii="Arial" w:cs="Arial" w:eastAsia="Arial" w:hAnsi="Arial"/>
                <w:sz w:val="24"/>
                <w:szCs w:val="24"/>
              </w:rPr>
              <w:t xml:space="preserve">Кыргызской Республики</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депозитных </w:t>
            </w:r>
          </w:p>
          <w:p>
            <w:pPr>
              <w:jc w:val="left"/>
            </w:pPr>
            <w:r>
              <w:rPr>
                <w:rFonts w:ascii="Arial" w:cs="Arial" w:eastAsia="Arial" w:hAnsi="Arial"/>
                <w:sz w:val="24"/>
                <w:szCs w:val="24"/>
              </w:rPr>
              <w:t xml:space="preserve">счетах в разрезе областей </w:t>
            </w:r>
          </w:p>
          <w:p>
            <w:pPr>
              <w:jc w:val="left"/>
            </w:pPr>
            <w:r>
              <w:rPr>
                <w:rFonts w:ascii="Arial" w:cs="Arial" w:eastAsia="Arial" w:hAnsi="Arial"/>
                <w:sz w:val="24"/>
                <w:szCs w:val="24"/>
              </w:rPr>
              <w:t xml:space="preserve">Кыргызской Республики</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депозитах и </w:t>
            </w:r>
          </w:p>
          <w:p>
            <w:pPr>
              <w:jc w:val="left"/>
            </w:pPr>
            <w:r>
              <w:rPr>
                <w:rFonts w:ascii="Arial" w:cs="Arial" w:eastAsia="Arial" w:hAnsi="Arial"/>
                <w:sz w:val="24"/>
                <w:szCs w:val="24"/>
              </w:rPr>
              <w:t xml:space="preserve">применяемых процентных </w:t>
            </w:r>
          </w:p>
          <w:p>
            <w:pPr>
              <w:jc w:val="left"/>
            </w:pPr>
            <w:r>
              <w:rPr>
                <w:rFonts w:ascii="Arial" w:cs="Arial" w:eastAsia="Arial" w:hAnsi="Arial"/>
                <w:sz w:val="24"/>
                <w:szCs w:val="24"/>
              </w:rPr>
              <w:t xml:space="preserve">ставках. Объем депозитов</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4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3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6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none" w:color="auto" w:sz="0"/>
              <w:right w:val="none" w:color="auto" w:sz="0"/>
            </w:tcBorders>
            <w:vAlign w:val="top"/>
          </w:tcPr>
          <w:p>
            <w:pPr>
              <w:jc w:val="right"/>
            </w:pPr>
            <w:r>
              <w:rPr>
                <w:rFonts w:ascii="Arial" w:cs="Arial" w:eastAsia="Arial" w:hAnsi="Arial"/>
                <w:b/>
                <w:bCs/>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jkqzhqroqdsazubujysp">
      <w:r>
        <w:rPr>
          <w:rFonts w:ascii="Arial" w:cs="Arial" w:eastAsia="Arial" w:hAnsi="Arial"/>
          <w:color w:val="132D3F"/>
          <w:sz w:val="16"/>
          <w:szCs w:val="16"/>
          <w:u w:val="single"/>
        </w:rPr>
        <w:t xml:space="preserve">dalil.kg/document/230010460</w:t>
      </w:r>
    </w:hyperlink>
  </w:p>
  <w:p>
    <w:pPr>
      <w:spacing w:after="0" w:before="40"/>
      <w:jc w:val="center"/>
    </w:pPr>
    <w:hyperlink w:history="1" r:id="rIdrwpxrx9pfzrqejopeyw1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aq52wtxgxknspyitbimz" Type="http://schemas.openxmlformats.org/officeDocument/2006/relationships/hyperlink" Target="https://dalil.kg/document/202289" TargetMode="External"/><Relationship Id="rIdwkhupzvuwkojdumqos3n6" Type="http://schemas.openxmlformats.org/officeDocument/2006/relationships/hyperlink" Target="https://dalil.kg/document/112301#st_13" TargetMode="External"/><Relationship Id="rId0b192hc2tqvht0aq-ljsv" Type="http://schemas.openxmlformats.org/officeDocument/2006/relationships/hyperlink" Target="https://dalil.kg/document/112301#st_17" TargetMode="External"/><Relationship Id="rId4g_kpvwukjyhwj3sh_puj" Type="http://schemas.openxmlformats.org/officeDocument/2006/relationships/hyperlink" Target="https://dalil.kg/document/91089" TargetMode="External"/><Relationship Id="rId9mrcz83zlrg0bj5qqs_hg" Type="http://schemas.openxmlformats.org/officeDocument/2006/relationships/hyperlink" Target="https://dalil.kg/document/91088" TargetMode="External"/><Relationship Id="rIdlxg3epqne1k6s23nwxigm" Type="http://schemas.openxmlformats.org/officeDocument/2006/relationships/hyperlink" Target="https://dalil.kg/document/91088" TargetMode="External"/><Relationship Id="rIdun6r_eyfzaa25vaskrzus" Type="http://schemas.openxmlformats.org/officeDocument/2006/relationships/hyperlink" Target="https://dalil.kg/document/91089" TargetMode="External"/><Relationship Id="rId-ojnax9o3a658nhkevwnn" Type="http://schemas.openxmlformats.org/officeDocument/2006/relationships/hyperlink" Target="https://dalil.kg/document/202289" TargetMode="External"/><Relationship Id="rIdp8wyvmnz2veoer9fanust" Type="http://schemas.openxmlformats.org/officeDocument/2006/relationships/hyperlink" Target="https://dalil.kg/document/111486" TargetMode="External"/><Relationship Id="rIdhdi4r4ve4vihrzlnxuz55" Type="http://schemas.openxmlformats.org/officeDocument/2006/relationships/hyperlink" Target="https://dalil.kg/document/202289" TargetMode="External"/><Relationship Id="rIdcqsrrhxk1-94noba5bct5" Type="http://schemas.openxmlformats.org/officeDocument/2006/relationships/hyperlink" Target="https://dalil.kg/document/112424" TargetMode="External"/><Relationship Id="rIdikntarojnxdiwkbpvo9tj" Type="http://schemas.openxmlformats.org/officeDocument/2006/relationships/hyperlink" Target="https://dalil.kg/document/92321" TargetMode="External"/><Relationship Id="rIdzcl1p8njw7pnwzfj9iokn" Type="http://schemas.openxmlformats.org/officeDocument/2006/relationships/hyperlink" Target="https://dalil.kg/document/91096" TargetMode="External"/><Relationship Id="rIdfezkdyhkvhfz6g4n3cace" Type="http://schemas.openxmlformats.org/officeDocument/2006/relationships/hyperlink" Target="https://dalil.kg/document/91096" TargetMode="External"/><Relationship Id="rIdvddmp0tjxmb3in3uhpbwt" Type="http://schemas.openxmlformats.org/officeDocument/2006/relationships/hyperlink" Target="https://dalil.kg/document/92321" TargetMode="External"/><Relationship Id="rIdbrj-u2hufvkeietvmligy" Type="http://schemas.openxmlformats.org/officeDocument/2006/relationships/hyperlink" Target="https://dalil.kg/document/91096#p17" TargetMode="External"/><Relationship Id="rId5m8vg0la6wtzlbtkjgyxr" Type="http://schemas.openxmlformats.org/officeDocument/2006/relationships/hyperlink" Target="https://dalil.kg/document/91096#p19" TargetMode="External"/><Relationship Id="rIdohfjuo4zzgtjihvtewl0c" Type="http://schemas.openxmlformats.org/officeDocument/2006/relationships/hyperlink" Target="https://dalil.kg/document/91096#p28" TargetMode="External"/><Relationship Id="rIdnolfzhoaz-rtbvca0835g" Type="http://schemas.openxmlformats.org/officeDocument/2006/relationships/hyperlink" Target="https://dalil.kg/document/91096#p34" TargetMode="External"/><Relationship Id="rIdylfwmuily00bbkbttix13" Type="http://schemas.openxmlformats.org/officeDocument/2006/relationships/hyperlink" Target="https://dalil.kg/document/91096#p22" TargetMode="External"/><Relationship Id="rIdwnhzidhfx3qenyakiubsc" Type="http://schemas.openxmlformats.org/officeDocument/2006/relationships/hyperlink" Target="https://dalil.kg/document/91096#p26" TargetMode="External"/><Relationship Id="rIdvpqmayoxarx0spjcajgpy" Type="http://schemas.openxmlformats.org/officeDocument/2006/relationships/hyperlink" Target="https://dalil.kg/document/91096#p27" TargetMode="External"/><Relationship Id="rId4w4oc1phdcxfi7jxycwwj" Type="http://schemas.openxmlformats.org/officeDocument/2006/relationships/hyperlink" Target="https://dalil.kg/document/91096#p32" TargetMode="External"/><Relationship Id="rIdvlleowleu85on2khv-ipp" Type="http://schemas.openxmlformats.org/officeDocument/2006/relationships/hyperlink" Target="https://dalil.kg/document/91096#pr1" TargetMode="External"/><Relationship Id="rIdopewcgfwbs-k_rqth2wol" Type="http://schemas.openxmlformats.org/officeDocument/2006/relationships/hyperlink" Target="https://dalil.kg/document/91096" TargetMode="External"/><Relationship Id="rId-5rubntfmhqwpyvs_7cyh" Type="http://schemas.openxmlformats.org/officeDocument/2006/relationships/hyperlink" Target="https://dalil.kg/document/230010460#pr" TargetMode="External"/><Relationship Id="rIdvpehiw0xdcecs8w1roolq" Type="http://schemas.openxmlformats.org/officeDocument/2006/relationships/hyperlink" Target="https://dalil.kg/document/230010460" TargetMode="External"/><Relationship Id="rId87ljb_ppzq0khgvcjrkei" Type="http://schemas.openxmlformats.org/officeDocument/2006/relationships/hyperlink" Target="https://dalil.kg/document/91096#pr4" TargetMode="External"/><Relationship Id="rIdcyqnhykxrjv0w7aeurxld" Type="http://schemas.openxmlformats.org/officeDocument/2006/relationships/hyperlink" Target="https://dalil.kg/document/91096" TargetMode="External"/><Relationship Id="rId3sqx4trgxofs-qejtcxgi" Type="http://schemas.openxmlformats.org/officeDocument/2006/relationships/hyperlink" Target="https://dalil.kg/document/91096#pr1"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jkqzhqroqdsazubujysp" Type="http://schemas.openxmlformats.org/officeDocument/2006/relationships/hyperlink" Target="https://dalil.kg/document/230010460" TargetMode="External"/><Relationship Id="rIdrwpxrx9pfzrqejopeyw1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2026-09-26T09:54:49.891Z</dcterms:created>
  <dcterms:modified xsi:type="dcterms:W3CDTF">2026-09-26T09:54:49.891Z</dcterms:modified>
</cp:coreProperties>
</file>

<file path=docProps/custom.xml><?xml version="1.0" encoding="utf-8"?>
<Properties xmlns="http://schemas.openxmlformats.org/officeDocument/2006/custom-properties" xmlns:vt="http://schemas.openxmlformats.org/officeDocument/2006/docPropsVTypes"/>
</file>