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Среднесрочной тарифной политики Кыргызской Республики на тепловую энергию и горячее водоснабжение на 2021-2025 годы» от 30 сентября 2021 года № 193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введения принципов самоокупаемости энергетического сектора и ежегодного улучшения основных показателей деятельности в условиях дефицита денежных средств, а также уменьшения объемов перекрестного субсидирования между различными категориями потребителей, в соответствии со </w:t>
      </w:r>
      <w:hyperlink w:history="1" r:id="rIdpubdlwmnukgpsyxufaw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энергетике», статьями </w:t>
      </w:r>
      <w:hyperlink w:history="1" r:id="rId_vk8jyiygwg1ijakrml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bd1dhw-ph5artpq2yn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06z1e7pnqttgmnnmff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ko6ep_e0f08krxiafy9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тепловую энергию и горячее водоснабжение на 2021-2025 годы» от 30 сентября 2021 года № 193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egacg9rb8xxegsqiq8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тепловую энергию и горячее водоснабжение на 2021-2025 годы (далее - Среднесрочная тарифная политика), утвержденной вышеуказанным </w:t>
      </w:r>
      <w:hyperlink w:history="1" r:id="rIdodlfrmip0xomstaaaqz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бытовых потребителей (населения) предусматривается социальная норма ежемесячного потребления тепловой энергии, установленная для общей площади жилого помещения объемом до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бытовых потребителей (населения) с общей площадью жилого помещения объемом свыше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тарифы на тепловую энергию будут применяться на уровне стоимости тепловой энергии на каждый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превышения от социальной нормы.»;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четвертый, пятый и тринадцатый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«, который предусматривает покрытие в 2025 году стоимости горячей воды»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«Тариф для теплоснабжающих организаций на тепловую энергию в виде горячей воды по приборам учета и по норме потребления для всех групп потребителей устанавливается индивидуально, исходя из тарифа за тепловую энергию в виде горячей воды.»;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jyx1vqeidfxqzuwgbe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vnsdny4grk529sbefkp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uxr6higdq-v0pqqe7oj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3djaic3xsr2_doiqcc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ed_eauqg8-1fiy17og7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бытовых потребителей (населения) действует социальная норма на ежемесячное потребление тепловой энергии в пределах объемов для общей площади жилого помещения до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расход тепловой энергии на отопление (Гкал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 месяц)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отоп</w:t>
      </w:r>
      <w:r>
        <w:rPr>
          <w:rFonts w:ascii="Arial" w:cs="Arial" w:eastAsia="Arial" w:hAnsi="Arial"/>
          <w:sz w:val="24"/>
          <w:szCs w:val="24"/>
        </w:rPr>
        <w:t xml:space="preserve"> - удельный расход тепловой энергии на отопление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(Гкал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 месяц);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факт</w:t>
      </w:r>
      <w:r>
        <w:rPr>
          <w:rFonts w:ascii="Arial" w:cs="Arial" w:eastAsia="Arial" w:hAnsi="Arial"/>
          <w:sz w:val="24"/>
          <w:szCs w:val="24"/>
        </w:rPr>
        <w:t xml:space="preserve"> - фактическое количество тепловой энергии, потребленное общей площадью жилого помещения за месяц отопительного периода (Гкал/мес.);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кв</w:t>
      </w:r>
      <w:r>
        <w:rPr>
          <w:rFonts w:ascii="Arial" w:cs="Arial" w:eastAsia="Arial" w:hAnsi="Arial"/>
          <w:sz w:val="24"/>
          <w:szCs w:val="24"/>
        </w:rPr>
        <w:t xml:space="preserve"> - общая площадь жилого помещения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тепловой энергии, приходящейся на отопление жилого помещения по социальной норме до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соц</w:t>
      </w:r>
      <w:r>
        <w:rPr>
          <w:rFonts w:ascii="Arial" w:cs="Arial" w:eastAsia="Arial" w:hAnsi="Arial"/>
          <w:sz w:val="24"/>
          <w:szCs w:val="24"/>
        </w:rPr>
        <w:t xml:space="preserve">. норм = 80 x N</w:t>
      </w:r>
      <w:r>
        <w:rPr>
          <w:rFonts w:ascii="Arial" w:cs="Arial" w:eastAsia="Arial" w:hAnsi="Arial"/>
          <w:sz w:val="24"/>
          <w:szCs w:val="24"/>
        </w:rPr>
        <w:t xml:space="preserve">отоп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соц. норм</w:t>
      </w:r>
      <w:r>
        <w:rPr>
          <w:rFonts w:ascii="Arial" w:cs="Arial" w:eastAsia="Arial" w:hAnsi="Arial"/>
          <w:sz w:val="24"/>
          <w:szCs w:val="24"/>
        </w:rPr>
        <w:t xml:space="preserve"> - количество тепловой энергии, потребленное в пределах социальной нормы (Гкал);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80 - общая площадь жилого помещения, по социальной норме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отоп</w:t>
      </w:r>
      <w:r>
        <w:rPr>
          <w:rFonts w:ascii="Arial" w:cs="Arial" w:eastAsia="Arial" w:hAnsi="Arial"/>
          <w:sz w:val="24"/>
          <w:szCs w:val="24"/>
        </w:rPr>
        <w:t xml:space="preserve"> - удельный расход тепловой энергии на отопление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(Гкал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 месяц).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тепловой энергии, приходящейся на отопление жилого помещения сверх социальной нормы,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сверх соц. нормы </w:t>
      </w:r>
      <w:r>
        <w:rPr>
          <w:rFonts w:ascii="Arial" w:cs="Arial" w:eastAsia="Arial" w:hAnsi="Arial"/>
          <w:sz w:val="24"/>
          <w:szCs w:val="24"/>
        </w:rPr>
        <w:t xml:space="preserve">= Q</w:t>
      </w:r>
      <w:r>
        <w:rPr>
          <w:rFonts w:ascii="Arial" w:cs="Arial" w:eastAsia="Arial" w:hAnsi="Arial"/>
          <w:sz w:val="24"/>
          <w:szCs w:val="24"/>
        </w:rPr>
        <w:t xml:space="preserve">факт</w:t>
      </w:r>
      <w:r>
        <w:rPr>
          <w:rFonts w:ascii="Arial" w:cs="Arial" w:eastAsia="Arial" w:hAnsi="Arial"/>
          <w:sz w:val="24"/>
          <w:szCs w:val="24"/>
        </w:rPr>
        <w:t xml:space="preserve"> - Q</w:t>
      </w:r>
      <w:r>
        <w:rPr>
          <w:rFonts w:ascii="Arial" w:cs="Arial" w:eastAsia="Arial" w:hAnsi="Arial"/>
          <w:sz w:val="24"/>
          <w:szCs w:val="24"/>
        </w:rPr>
        <w:t xml:space="preserve">соц. норм</w:t>
      </w:r>
      <w:r>
        <w:rPr>
          <w:rFonts w:ascii="Arial" w:cs="Arial" w:eastAsia="Arial" w:hAnsi="Arial"/>
          <w:sz w:val="24"/>
          <w:szCs w:val="24"/>
        </w:rPr>
        <w:t xml:space="preserve">.,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сверх соц. нормы </w:t>
      </w:r>
      <w:r>
        <w:rPr>
          <w:rFonts w:ascii="Arial" w:cs="Arial" w:eastAsia="Arial" w:hAnsi="Arial"/>
          <w:sz w:val="24"/>
          <w:szCs w:val="24"/>
        </w:rPr>
        <w:t xml:space="preserve">- количество тепловой энергии, потребленное сверх социальной нормы (Гкал);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факт</w:t>
      </w:r>
      <w:r>
        <w:rPr>
          <w:rFonts w:ascii="Arial" w:cs="Arial" w:eastAsia="Arial" w:hAnsi="Arial"/>
          <w:sz w:val="24"/>
          <w:szCs w:val="24"/>
        </w:rPr>
        <w:t xml:space="preserve"> - фактическое количество тепловой энергии, потребленное общей площадью жилого помещения за месяц отопительного периода (Гкал/мес.);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соц. норм</w:t>
      </w:r>
      <w:r>
        <w:rPr>
          <w:rFonts w:ascii="Arial" w:cs="Arial" w:eastAsia="Arial" w:hAnsi="Arial"/>
          <w:sz w:val="24"/>
          <w:szCs w:val="24"/>
        </w:rPr>
        <w:t xml:space="preserve"> - количество тепловой энергии, потребленное в пределах социальной нормы (Гкал).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потребителей группы "Население", имеющих приборы учета тепловой энергии на отопление, алгоритм расчета социальной нормы аналогичный.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расчетах объемов социальной нормы ежемесячного потребления тепловой энергии общей площадью жилого помещения до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оплата производится по тарифу, указанному в подпункте 1 пункта 1 приложения 1 к ССТП.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общая площадь жилого помещения свыше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тариф на тепловую энергию на уровне стоимости тепловой энергии будет применяться на каждый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превышения.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тепловой энергии в пределах социальной нормы, а также свыше социальной нормы указывается отдельной строкой в счетах на оплату, выставленных теплоснабжающей организацией потребителю.».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июня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4 июня 2024 года № 42 (3595)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hnuaj8bnvcvnnoc-nzw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тепловую энергию и горячую воду для конечных потребителей на 2021-2025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"/>
        <w:gridCol w:w="2152"/>
        <w:gridCol w:w="1173"/>
        <w:gridCol w:w="1254"/>
        <w:gridCol w:w="1254"/>
        <w:gridCol w:w="1254"/>
        <w:gridCol w:w="1254"/>
        <w:gridCol w:w="1254"/>
      </w:tblGrid>
      <w:tr>
        <w:tc>
          <w:tcPr>
            <w:tcW w:type="dxa" w:w="5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потребителей</w:t>
            </w:r>
          </w:p>
        </w:tc>
        <w:tc>
          <w:tcPr>
            <w:tcW w:type="dxa" w:w="11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627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01.06.2022 г.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01.06.2023 г.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01.06.2024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01.06.2025</w:t>
            </w:r>
          </w:p>
        </w:tc>
      </w:tr>
      <w:tr>
        <w:tc>
          <w:tcPr>
            <w:tcW w:type="dxa" w:w="1018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Тарифы на тепловую энергию на цели отопления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Население(*)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месяц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1134,76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1134,76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1248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80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месяц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Тарифы на горячую воду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(за тепловую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энергию в виде горячей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воды)(*)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981,76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981,76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и прочие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(за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тепловую энергию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 горячей воды)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Примечание. (*) Вышеуказанные тарифы на тепловую энергию и горячую воду применяются при расчетах с потребителями группы "Население" для всех теплоснабжающих предприятий (за исключением локальных частных отопительных котельных, осуществляющих теплоснабжение вновь введенных в эксплуатацию многоэтажных домов).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Тариф на тепловую энергию в виде горячей воды по приборам учета и по норме потребления устанавливается для теплоснабжающих организаций по всем группам потребителей индивидуально, исходя из тарифа за тепловую энергию в виде горячей воды.».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xw2x4b6k2v_xvsv4t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dalil.kg/document/230010522</w:t>
      </w:r>
    </w:hyperlink>
  </w:p>
  <w:p>
    <w:pPr>
      <w:spacing w:after="0" w:before="40"/>
      <w:jc w:val="center"/>
    </w:pPr>
    <w:hyperlink w:history="1" r:id="rIdzwijg8pcibhtaip97io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bdlwmnukgpsyxufawhq" Type="http://schemas.openxmlformats.org/officeDocument/2006/relationships/hyperlink" Target="https://dalil.kg/document/663#st_6" TargetMode="External"/><Relationship Id="rId_vk8jyiygwg1ijakrmlie" Type="http://schemas.openxmlformats.org/officeDocument/2006/relationships/hyperlink" Target="https://dalil.kg/document/112301#st_13" TargetMode="External"/><Relationship Id="rIddbd1dhw-ph5artpq2ynpk" Type="http://schemas.openxmlformats.org/officeDocument/2006/relationships/hyperlink" Target="https://dalil.kg/document/112301#st_17" TargetMode="External"/><Relationship Id="rIdk06z1e7pnqttgmnnmffp3" Type="http://schemas.openxmlformats.org/officeDocument/2006/relationships/hyperlink" Target="https://dalil.kg/document/158795" TargetMode="External"/><Relationship Id="rIdko6ep_e0f08krxiafy9w2" Type="http://schemas.openxmlformats.org/officeDocument/2006/relationships/hyperlink" Target="https://dalil.kg/document/230010521" TargetMode="External"/><Relationship Id="rIdregacg9rb8xxegsqiq8xx" Type="http://schemas.openxmlformats.org/officeDocument/2006/relationships/hyperlink" Target="https://dalil.kg/document/230010521" TargetMode="External"/><Relationship Id="rIdodlfrmip0xomstaaaqzrj" Type="http://schemas.openxmlformats.org/officeDocument/2006/relationships/hyperlink" Target="https://dalil.kg/document/158795" TargetMode="External"/><Relationship Id="rIdzjyx1vqeidfxqzuwgbeo7" Type="http://schemas.openxmlformats.org/officeDocument/2006/relationships/hyperlink" Target="https://dalil.kg/document/230010521#pr1" TargetMode="External"/><Relationship Id="rIdvnsdny4grk529sbefkpmo" Type="http://schemas.openxmlformats.org/officeDocument/2006/relationships/hyperlink" Target="https://dalil.kg/document/230010521" TargetMode="External"/><Relationship Id="rIduxr6higdq-v0pqqe7ojdh" Type="http://schemas.openxmlformats.org/officeDocument/2006/relationships/hyperlink" Target="https://dalil.kg/document/230010522#pr" TargetMode="External"/><Relationship Id="rIda3djaic3xsr2_doiqccpe" Type="http://schemas.openxmlformats.org/officeDocument/2006/relationships/hyperlink" Target="https://dalil.kg/document/230010521#pr2" TargetMode="External"/><Relationship Id="rIded_eauqg8-1fiy17og7ji" Type="http://schemas.openxmlformats.org/officeDocument/2006/relationships/hyperlink" Target="https://dalil.kg/document/230010521" TargetMode="External"/><Relationship Id="rIdhnuaj8bnvcvnnoc-nzwzc" Type="http://schemas.openxmlformats.org/officeDocument/2006/relationships/hyperlink" Target="https://dalil.kg/document/230010521#pr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xw2x4b6k2v_xvsv4t8c" Type="http://schemas.openxmlformats.org/officeDocument/2006/relationships/hyperlink" Target="https://dalil.kg/document/230010522" TargetMode="External"/><Relationship Id="rIdzwijg8pcibhtaip97io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2026-09-25T00:44:25.752Z</dcterms:created>
  <dcterms:modified xsi:type="dcterms:W3CDTF">2026-09-25T00:44:25.752Z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