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списания задолженности (безнадежной) по</w:t>
      </w:r>
    </w:p>
    <w:p>
      <w:pPr>
        <w:spacing w:after="240" w:before="200"/>
        <w:jc w:val="center"/>
      </w:pPr>
      <w:r>
        <w:rPr>
          <w:rFonts w:ascii="Arial" w:cs="Arial" w:eastAsia="Arial" w:hAnsi="Arial"/>
          <w:b/>
          <w:bCs/>
          <w:sz w:val="32"/>
          <w:szCs w:val="32"/>
        </w:rPr>
        <w:t xml:space="preserve">уплате таможенных платежей, специальных,</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240" w:before="200"/>
        <w:jc w:val="center"/>
      </w:pPr>
      <w:r>
        <w:rPr>
          <w:rFonts w:ascii="Arial" w:cs="Arial" w:eastAsia="Arial" w:hAnsi="Arial"/>
          <w:b/>
          <w:bCs/>
          <w:sz w:val="32"/>
          <w:szCs w:val="32"/>
        </w:rPr>
        <w:t xml:space="preserve">процентов, пеней и штрафов</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w:t>
      </w:r>
      <w:hyperlink w:history="1" r:id="rIdztz3mdt_nvrixh39-9ydq">
        <w:r>
          <w:rPr>
            <w:rFonts w:ascii="Arial" w:cs="Arial" w:eastAsia="Arial" w:hAnsi="Arial"/>
            <w:i/>
            <w:iCs/>
            <w:color w:val="1D4ED8"/>
            <w:sz w:val="24"/>
            <w:szCs w:val="24"/>
            <w:u w:val="single"/>
          </w:rPr>
          <w:t xml:space="preserve"> постановления </w:t>
        </w:r>
      </w:hyperlink>
      <w:r>
        <w:rPr>
          <w:rFonts w:ascii="Arial" w:cs="Arial" w:eastAsia="Arial" w:hAnsi="Arial"/>
          <w:i/>
          <w:iCs/>
          <w:sz w:val="24"/>
          <w:szCs w:val="24"/>
        </w:rPr>
        <w:t xml:space="preserve">Кабинета Министров Кыргызской Республики от 19 июня 2024 года № 319)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специальных, антидемпинговых, компенсационных пошлин, процентов, пеней и штрафов.</w:t>
      </w:r>
    </w:p>
    <w:p>
      <w:pPr>
        <w:spacing w:after="120"/>
        <w:ind w:firstLine="39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процентов, пеней и штрафов, признается безнадежным долгом в соответствии со </w:t>
      </w:r>
      <w:hyperlink w:history="1" r:id="rIdx8-irczmzbyyju54fda73">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Закона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2. Приказом таможенного органа, в регионе деятельности которого возникла задолженность, признанная безнадежным долгом, создается комиссия по списанию задолженности по уплате таможенных платежей, специальных, антидемпинговых, компенсационных пошлин, процентов, пеней и штрафов.</w:t>
      </w:r>
    </w:p>
    <w:p>
      <w:pPr>
        <w:spacing w:after="120"/>
        <w:ind w:firstLine="397"/>
        <w:jc w:val="both"/>
      </w:pPr>
      <w:r>
        <w:rPr>
          <w:rFonts w:ascii="Arial" w:cs="Arial" w:eastAsia="Arial" w:hAnsi="Arial"/>
          <w:sz w:val="24"/>
          <w:szCs w:val="24"/>
        </w:rPr>
        <w:t xml:space="preserve">3. Комиссия формируется в нечетном количестве из числа сотрудников таможенного органа в составе не менее пяти членов и возглавляется начальником или заместителем начальника таможенного органа.</w:t>
      </w:r>
    </w:p>
    <w:p>
      <w:pPr>
        <w:spacing w:after="120"/>
        <w:ind w:firstLine="397"/>
        <w:jc w:val="both"/>
      </w:pPr>
      <w:r>
        <w:rPr>
          <w:rFonts w:ascii="Arial" w:cs="Arial" w:eastAsia="Arial" w:hAnsi="Arial"/>
          <w:sz w:val="24"/>
          <w:szCs w:val="24"/>
        </w:rPr>
        <w:t xml:space="preserve">4. Для участия в работе комиссии могут быть приглашены эксперты.</w:t>
      </w:r>
    </w:p>
    <w:p>
      <w:pPr>
        <w:spacing w:after="120"/>
        <w:ind w:firstLine="39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6. Решение комиссии оформляется по форме, определяемой уполномоченным государственным органом в сфере таможенного дела, и является основанием для списания плательщику задолженности по уплате таможенных платежей, специальных, антидемпинговых, компенсационных пошлин, процентов, пеней и штрафов. Решение составляется в 1 (одном) экземпляре для проведения операций по списанию соответствующим таможенным органом. По требованию плательщика предоставляется копия решения.</w:t>
      </w:r>
    </w:p>
    <w:p>
      <w:pPr>
        <w:spacing w:after="120"/>
        <w:ind w:firstLine="39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специальных, антидемпинговых, компенсационных пошлин, процентов, пеней и штрафов,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плательщика по уплате таможенных платежей, специальных, антидемпинговых, компенсационных пошлин, процентов, пеней и штрафов, и необходимости ее списания;</w:t>
      </w:r>
    </w:p>
    <w:p>
      <w:pPr>
        <w:spacing w:after="120"/>
        <w:ind w:firstLine="397"/>
        <w:jc w:val="both"/>
      </w:pPr>
      <w:r>
        <w:rPr>
          <w:rFonts w:ascii="Arial" w:cs="Arial" w:eastAsia="Arial" w:hAnsi="Arial"/>
          <w:sz w:val="24"/>
          <w:szCs w:val="24"/>
        </w:rPr>
        <w:t xml:space="preserve">2) справка с банка об отсутствии денежных средств на расчетных счетах плательщика или о закрытии счета и др.;</w:t>
      </w:r>
    </w:p>
    <w:p>
      <w:pPr>
        <w:spacing w:after="120"/>
        <w:ind w:firstLine="397"/>
        <w:jc w:val="both"/>
      </w:pPr>
      <w:r>
        <w:rPr>
          <w:rFonts w:ascii="Arial" w:cs="Arial" w:eastAsia="Arial" w:hAnsi="Arial"/>
          <w:sz w:val="24"/>
          <w:szCs w:val="24"/>
        </w:rPr>
        <w:t xml:space="preserve">3) решения уполномоченного государственного органа в сфере юстиции о прекращении деятельности юридического лица;</w:t>
      </w:r>
    </w:p>
    <w:p>
      <w:pPr>
        <w:spacing w:after="120"/>
        <w:ind w:firstLine="397"/>
        <w:jc w:val="both"/>
      </w:pPr>
      <w:r>
        <w:rPr>
          <w:rFonts w:ascii="Arial" w:cs="Arial" w:eastAsia="Arial" w:hAnsi="Arial"/>
          <w:sz w:val="24"/>
          <w:szCs w:val="24"/>
        </w:rPr>
        <w:t xml:space="preserve">4) рапорт подразделения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специальных, антидемпинговых, компенсационных пошлин, процентов, пеней и штрафов, признанных банкротами в соответствии с </w:t>
      </w:r>
      <w:hyperlink w:history="1" r:id="rId6pa4v6ulfr80fnnwwovl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специальных, антидемпинговых, компенсационных пошлин, процентов, пеней и штрафов юридического лица и необходимости ее списания;</w:t>
      </w:r>
    </w:p>
    <w:p>
      <w:pPr>
        <w:spacing w:after="120"/>
        <w:ind w:firstLine="39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w:t>
      </w:r>
    </w:p>
    <w:p>
      <w:pPr>
        <w:spacing w:after="120"/>
        <w:ind w:firstLine="39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120"/>
        <w:ind w:firstLine="39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120"/>
        <w:ind w:firstLine="39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120"/>
        <w:ind w:firstLine="39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120"/>
        <w:ind w:firstLine="39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120"/>
        <w:ind w:firstLine="397"/>
        <w:jc w:val="both"/>
      </w:pPr>
      <w:r>
        <w:rPr>
          <w:rFonts w:ascii="Arial" w:cs="Arial" w:eastAsia="Arial" w:hAnsi="Arial"/>
          <w:sz w:val="24"/>
          <w:szCs w:val="24"/>
        </w:rPr>
        <w:t xml:space="preserve">5) справка об имуществе или его части, перешедшей по наследованию;</w:t>
      </w:r>
    </w:p>
    <w:p>
      <w:pPr>
        <w:spacing w:after="120"/>
        <w:ind w:firstLine="39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120"/>
        <w:ind w:firstLine="39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3) копия документа об установлении опекунства, попечительства или управления имуществом;</w:t>
      </w:r>
    </w:p>
    <w:p>
      <w:pPr>
        <w:spacing w:after="120"/>
        <w:ind w:firstLine="39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120"/>
        <w:ind w:firstLine="397"/>
        <w:jc w:val="both"/>
      </w:pPr>
      <w:r>
        <w:rPr>
          <w:rFonts w:ascii="Arial" w:cs="Arial" w:eastAsia="Arial" w:hAnsi="Arial"/>
          <w:sz w:val="24"/>
          <w:szCs w:val="24"/>
        </w:rPr>
        <w:t xml:space="preserve">11. Предоставление документов, указанных в пунктах </w:t>
      </w:r>
      <w:hyperlink w:history="1" r:id="rIdpansucnq7hvtlpgdqxo-d">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hyperlink w:history="1" r:id="rId4odg8met234db2_91dnru">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Порядка не требуется в случае получения указанных документов посредством системы межведомственного электронного взаимодействия "Тундук".</w:t>
      </w:r>
    </w:p>
    <w:p>
      <w:pPr>
        <w:spacing w:after="120"/>
        <w:ind w:firstLine="397"/>
        <w:jc w:val="both"/>
      </w:pPr>
      <w:r>
        <w:rPr>
          <w:rFonts w:ascii="Arial" w:cs="Arial" w:eastAsia="Arial" w:hAnsi="Arial"/>
          <w:sz w:val="24"/>
          <w:szCs w:val="24"/>
        </w:rPr>
        <w:t xml:space="preserve">12.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120"/>
        <w:ind w:firstLine="397"/>
        <w:jc w:val="both"/>
      </w:pPr>
      <w:r>
        <w:rPr>
          <w:rFonts w:ascii="Arial" w:cs="Arial" w:eastAsia="Arial" w:hAnsi="Arial"/>
          <w:sz w:val="24"/>
          <w:szCs w:val="24"/>
        </w:rPr>
        <w:t xml:space="preserve">13. Таможенный орган, в регионе деятельности которого возникла задолженность, формирует сведения о плательщиках, которым списана задолженность по уплате таможенных платежей, начисленным процентам, пеням и штрафам, с указанием сумм и ежеквартально направляет такие сведения уполномоченному государственному органу в сфере таможенного дела.</w:t>
      </w:r>
    </w:p>
    <w:p>
      <w:pPr>
        <w:spacing w:after="120"/>
        <w:ind w:firstLine="397"/>
        <w:jc w:val="both"/>
      </w:pPr>
      <w:r>
        <w:rPr>
          <w:rFonts w:ascii="Arial" w:cs="Arial" w:eastAsia="Arial" w:hAnsi="Arial"/>
          <w:sz w:val="24"/>
          <w:szCs w:val="24"/>
        </w:rPr>
        <w:t xml:space="preserve">14. В случае если после списания задолженности по уплате таможенных платежей, начисленным процентам, пеням и штрафам будет доказано, что плательщик в целях уклонения от уплаты задолженности по уплате таможенных платежей, начисленным процентам, пеням и штрафам передал другому лицу или иным образом намеренно скрыл свое имущество или денежные средства, списанная задолженность восстанавливается таможенным органом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tuoss7dxveu7bj1odtr">
      <w:r>
        <w:rPr>
          <w:rFonts w:ascii="Arial" w:cs="Arial" w:eastAsia="Arial" w:hAnsi="Arial"/>
          <w:color w:val="132D3F"/>
          <w:sz w:val="16"/>
          <w:szCs w:val="16"/>
          <w:u w:val="single"/>
        </w:rPr>
        <w:t xml:space="preserve">dalil.kg/document/230010535</w:t>
      </w:r>
    </w:hyperlink>
  </w:p>
  <w:p>
    <w:pPr>
      <w:spacing w:after="0" w:before="40"/>
      <w:jc w:val="center"/>
    </w:pPr>
    <w:hyperlink w:history="1" r:id="rId8twkq7ckc8syghnxov7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z3mdt_nvrixh39-9ydq" Type="http://schemas.openxmlformats.org/officeDocument/2006/relationships/hyperlink" Target="https://dalil.kg/document/230011450" TargetMode="External"/><Relationship Id="rIdx8-irczmzbyyju54fda73" Type="http://schemas.openxmlformats.org/officeDocument/2006/relationships/hyperlink" Target="https://dalil.kg/document/111908#st_83" TargetMode="External"/><Relationship Id="rId6pa4v6ulfr80fnnwwovl7" Type="http://schemas.openxmlformats.org/officeDocument/2006/relationships/hyperlink" Target="https://dalil.kg/document/574" TargetMode="External"/><Relationship Id="rIdpansucnq7hvtlpgdqxo-d" Type="http://schemas.openxmlformats.org/officeDocument/2006/relationships/hyperlink" Target="https://dalil.kg/document/230010535#p7" TargetMode="External"/><Relationship Id="rId4odg8met234db2_91dnru" Type="http://schemas.openxmlformats.org/officeDocument/2006/relationships/hyperlink" Target="https://dalil.kg/document/230010535#p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tuoss7dxveu7bj1odtr" Type="http://schemas.openxmlformats.org/officeDocument/2006/relationships/hyperlink" Target="https://dalil.kg/document/230010535" TargetMode="External"/><Relationship Id="rId8twkq7ckc8syghnxov7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2026-10-01T01:34:39.723Z</dcterms:created>
  <dcterms:modified xsi:type="dcterms:W3CDTF">2026-10-01T01:34:39.723Z</dcterms:modified>
</cp:coreProperties>
</file>

<file path=docProps/custom.xml><?xml version="1.0" encoding="utf-8"?>
<Properties xmlns="http://schemas.openxmlformats.org/officeDocument/2006/custom-properties" xmlns:vt="http://schemas.openxmlformats.org/officeDocument/2006/docPropsVTypes"/>
</file>