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w:t>
      </w:r>
    </w:p>
    <w:p>
      <w:pPr>
        <w:spacing w:after="120"/>
        <w:jc w:val="center"/>
      </w:pPr>
      <w:r>
        <w:rPr>
          <w:rFonts w:ascii="Arial" w:cs="Arial" w:eastAsia="Arial" w:hAnsi="Arial"/>
          <w:i/>
          <w:iCs/>
          <w:sz w:val="24"/>
          <w:szCs w:val="24"/>
        </w:rPr>
        <w:t xml:space="preserve">Изменения, внесенные </w:t>
      </w:r>
      <w:hyperlink w:history="1" r:id="rIddicdxsrmtfi11rrtvrfj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июня 2026 года № 445, вступают в силу с 1 ноября 2026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5lhps9htaqjw_1zx6wdwh">
        <w:r>
          <w:rPr>
            <w:rFonts w:ascii="Arial" w:cs="Arial" w:eastAsia="Arial" w:hAnsi="Arial"/>
            <w:color w:val="1D4ED8"/>
            <w:sz w:val="24"/>
            <w:szCs w:val="24"/>
            <w:u w:val="single"/>
          </w:rPr>
          <w:t xml:space="preserve">постановлению</w:t>
        </w:r>
      </w:hyperlink>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принятия декларации о соответствии требованиям</w:t>
      </w:r>
    </w:p>
    <w:p>
      <w:pPr>
        <w:spacing w:after="240" w:before="200"/>
        <w:jc w:val="center"/>
      </w:pPr>
      <w:r>
        <w:rPr>
          <w:rFonts w:ascii="Arial" w:cs="Arial" w:eastAsia="Arial" w:hAnsi="Arial"/>
          <w:b/>
          <w:bCs/>
          <w:sz w:val="32"/>
          <w:szCs w:val="32"/>
        </w:rPr>
        <w:t xml:space="preserve">технических регламентов Евразийского экономического союза</w:t>
      </w:r>
    </w:p>
    <w:p>
      <w:pPr>
        <w:spacing w:after="240" w:before="200"/>
        <w:jc w:val="center"/>
      </w:pPr>
      <w:r>
        <w:rPr>
          <w:rFonts w:ascii="Arial" w:cs="Arial" w:eastAsia="Arial" w:hAnsi="Arial"/>
          <w:b/>
          <w:bCs/>
          <w:sz w:val="32"/>
          <w:szCs w:val="32"/>
        </w:rPr>
        <w:t xml:space="preserve">(Таможенного союза) единой формы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qbcuwlm_vigm4clrillj">
        <w:r>
          <w:rPr>
            <w:rFonts w:ascii="Arial" w:cs="Arial" w:eastAsia="Arial" w:hAnsi="Arial"/>
            <w:i/>
            <w:iCs/>
            <w:color w:val="1D4ED8"/>
            <w:sz w:val="24"/>
            <w:szCs w:val="24"/>
            <w:u w:val="single"/>
          </w:rPr>
          <w:t xml:space="preserve">27 сентября 2022 года № 533</w:t>
        </w:r>
      </w:hyperlink>
      <w:r>
        <w:rPr>
          <w:rFonts w:ascii="Arial" w:cs="Arial" w:eastAsia="Arial" w:hAnsi="Arial"/>
          <w:i/>
          <w:iCs/>
          <w:sz w:val="24"/>
          <w:szCs w:val="24"/>
        </w:rPr>
        <w:t xml:space="preserve">, </w:t>
      </w:r>
      <w:hyperlink w:history="1" r:id="rIdic2mwlcgzbjslcyqpjcwp">
        <w:r>
          <w:rPr>
            <w:rFonts w:ascii="Arial" w:cs="Arial" w:eastAsia="Arial" w:hAnsi="Arial"/>
            <w:i/>
            <w:iCs/>
            <w:color w:val="1D4ED8"/>
            <w:sz w:val="24"/>
            <w:szCs w:val="24"/>
            <w:u w:val="single"/>
          </w:rPr>
          <w:t xml:space="preserve">28 февраля 2024 года № 88</w:t>
        </w:r>
      </w:hyperlink>
      <w:r>
        <w:rPr>
          <w:rFonts w:ascii="Arial" w:cs="Arial" w:eastAsia="Arial" w:hAnsi="Arial"/>
          <w:i/>
          <w:iCs/>
          <w:sz w:val="24"/>
          <w:szCs w:val="24"/>
        </w:rPr>
        <w:t xml:space="preserve">, </w:t>
      </w:r>
      <w:hyperlink w:history="1" r:id="rIdqegwpk3e1xmogztanymgv">
        <w:r>
          <w:rPr>
            <w:rFonts w:ascii="Arial" w:cs="Arial" w:eastAsia="Arial" w:hAnsi="Arial"/>
            <w:i/>
            <w:iCs/>
            <w:color w:val="1D4ED8"/>
            <w:sz w:val="24"/>
            <w:szCs w:val="24"/>
            <w:u w:val="single"/>
          </w:rPr>
          <w:t xml:space="preserve">29 июня 2026 года № 445</w:t>
        </w:r>
      </w:hyperlink>
      <w:r>
        <w:rPr>
          <w:rFonts w:ascii="Arial" w:cs="Arial" w:eastAsia="Arial" w:hAnsi="Arial"/>
          <w:i/>
          <w:iCs/>
          <w:sz w:val="24"/>
          <w:szCs w:val="24"/>
        </w:rPr>
        <w:t xml:space="preserve">, </w:t>
      </w:r>
      <w:hyperlink w:history="1" r:id="rIdxlcnvdjawyvznczetwljo">
        <w:r>
          <w:rPr>
            <w:rFonts w:ascii="Arial" w:cs="Arial" w:eastAsia="Arial" w:hAnsi="Arial"/>
            <w:i/>
            <w:iCs/>
            <w:color w:val="1D4ED8"/>
            <w:sz w:val="24"/>
            <w:szCs w:val="24"/>
            <w:u w:val="single"/>
          </w:rPr>
          <w:t xml:space="preserve">24 августа 2026 года № 570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о порядке принятия декларации о соответствии требованиям технических регламентов Евразийского экономического союза (Таможенного союза) единой формы (далее - Положение) определяет правила регистрации, приостановления, возобновления и прекращения действия декларации о соответствии продукции требованиям технических регламентов Евразийского экономического союза (технических регламентов Таможенного союза) (далее - декларации о соответствии).</w:t>
      </w:r>
    </w:p>
    <w:p>
      <w:pPr>
        <w:spacing w:after="120"/>
        <w:ind w:firstLine="397"/>
        <w:jc w:val="both"/>
      </w:pPr>
      <w:r>
        <w:rPr>
          <w:rFonts w:ascii="Arial" w:cs="Arial" w:eastAsia="Arial" w:hAnsi="Arial"/>
          <w:sz w:val="24"/>
          <w:szCs w:val="24"/>
        </w:rPr>
        <w:t xml:space="preserve">Декларация о соответствии, оформленная согласно единой формы декларации о соответствии требованиям технического регламента Евразийского экономического союза (Таможенного союза) (далее - Союза) и правилам ее оформления, утвержденным Решением Коллегии Евразийской экономической комиссии «О единых формах сертификата соответствия и декларации о соответствии техническим регламентам Таможенного союза и правилах их оформления» от 25 декабря 2012 года № 293, подлежит регистрации в Едином реестре выданных сертификатов соответствия и зарегистрированных деклараций о соответствии Евразийского экономического союза (далее - Единый реестр).</w:t>
      </w:r>
    </w:p>
    <w:p>
      <w:pPr>
        <w:spacing w:after="120"/>
        <w:ind w:firstLine="397"/>
        <w:jc w:val="both"/>
      </w:pPr>
      <w:r>
        <w:rPr>
          <w:rFonts w:ascii="Arial" w:cs="Arial" w:eastAsia="Arial" w:hAnsi="Arial"/>
          <w:sz w:val="24"/>
          <w:szCs w:val="24"/>
        </w:rPr>
        <w:t xml:space="preserve">Декларация о соответствии имеет юридическую силу с момента присвоения ей регистрационного номера в Едином реестре.</w:t>
      </w:r>
    </w:p>
    <w:p>
      <w:pPr>
        <w:spacing w:after="120"/>
        <w:ind w:firstLine="397"/>
        <w:jc w:val="both"/>
      </w:pPr>
      <w:r>
        <w:rPr>
          <w:rFonts w:ascii="Arial" w:cs="Arial" w:eastAsia="Arial" w:hAnsi="Arial"/>
          <w:sz w:val="24"/>
          <w:szCs w:val="24"/>
        </w:rPr>
        <w:t xml:space="preserve">2. Для регистрации декларации о соответствии заявитель, в зависимости от вида продукции, представляет в уполномоченный орган, </w:t>
      </w:r>
      <w:r>
        <w:rPr>
          <w:rFonts w:ascii="Arial" w:cs="Arial" w:eastAsia="Arial" w:hAnsi="Arial"/>
          <w:sz w:val="24"/>
          <w:szCs w:val="24"/>
        </w:rPr>
        <w:t xml:space="preserve">уполномоченный аккредитованный орган по сертификации</w:t>
      </w:r>
      <w:r>
        <w:rPr>
          <w:rFonts w:ascii="Arial" w:cs="Arial" w:eastAsia="Arial" w:hAnsi="Arial"/>
          <w:sz w:val="24"/>
          <w:szCs w:val="24"/>
        </w:rPr>
        <w:t xml:space="preserve"> или аккредитованные органы по сертификации продукции строительного назначения или технических средств связи декларацию о соответствии и прилагаемые к ней документы и сведения, предусмотренные </w:t>
      </w:r>
      <w:hyperlink w:history="1" r:id="rIdqpmm2iasc_eub17bcnsec">
        <w:r>
          <w:rPr>
            <w:rFonts w:ascii="Arial" w:cs="Arial" w:eastAsia="Arial" w:hAnsi="Arial"/>
            <w:color w:val="1D4ED8"/>
            <w:sz w:val="24"/>
            <w:szCs w:val="24"/>
            <w:u w:val="single"/>
          </w:rPr>
          <w:t xml:space="preserve">пунктом 3</w:t>
        </w:r>
      </w:hyperlink>
      <w:r>
        <w:rPr>
          <w:rFonts w:ascii="Arial" w:cs="Arial" w:eastAsia="Arial" w:hAnsi="Arial"/>
          <w:sz w:val="24"/>
          <w:szCs w:val="24"/>
        </w:rPr>
        <w:t xml:space="preserve"> настоящего Положения, в виде документов на бумажном носителе, лично, заказным почтовым отправлением с описью вложения и уведомлением о вручении либо в виде электронных документов с использованием информационно-телекоммуникационной сети Интернет.</w:t>
      </w:r>
    </w:p>
    <w:p>
      <w:pPr>
        <w:spacing w:after="120"/>
        <w:ind w:firstLine="39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xswdpvvofadcl4loyahiy">
        <w:r>
          <w:rPr>
            <w:rFonts w:ascii="Arial" w:cs="Arial" w:eastAsia="Arial" w:hAnsi="Arial"/>
            <w:i/>
            <w:iCs/>
            <w:color w:val="1D4ED8"/>
            <w:sz w:val="24"/>
            <w:szCs w:val="24"/>
            <w:u w:val="single"/>
          </w:rPr>
          <w:t xml:space="preserve">28 февраля 2024 года № 88</w:t>
        </w:r>
      </w:hyperlink>
      <w:r>
        <w:rPr>
          <w:rFonts w:ascii="Arial" w:cs="Arial" w:eastAsia="Arial" w:hAnsi="Arial"/>
          <w:sz w:val="24"/>
          <w:szCs w:val="24"/>
        </w:rPr>
        <w:t xml:space="preserve">, </w:t>
      </w:r>
      <w:hyperlink w:history="1" r:id="rIdfksnrcne19cuhlplgpcgc">
        <w:r>
          <w:rPr>
            <w:rFonts w:ascii="Arial" w:cs="Arial" w:eastAsia="Arial" w:hAnsi="Arial"/>
            <w:i/>
            <w:iCs/>
            <w:color w:val="1D4ED8"/>
            <w:sz w:val="24"/>
            <w:szCs w:val="24"/>
            <w:u w:val="single"/>
          </w:rPr>
          <w:t xml:space="preserve">29 июня 2026 года № 445</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3. К декларации о соответствии прилагаются следующие документы и сведения:</w:t>
      </w:r>
    </w:p>
    <w:p>
      <w:pPr>
        <w:spacing w:after="120"/>
        <w:ind w:firstLine="397"/>
        <w:jc w:val="both"/>
      </w:pPr>
      <w:r>
        <w:rPr>
          <w:rFonts w:ascii="Arial" w:cs="Arial" w:eastAsia="Arial" w:hAnsi="Arial"/>
          <w:sz w:val="24"/>
          <w:szCs w:val="24"/>
        </w:rPr>
        <w:t xml:space="preserve">а) заявление о регистрации декларации о соответствии по форме, установленной в </w:t>
      </w:r>
      <w:hyperlink w:history="1" r:id="rIdy6qyqgkestelnzxgr081d">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к настоящему Положению, подписанное заявителем и содержащее следующие сведения:</w:t>
      </w:r>
    </w:p>
    <w:p>
      <w:pPr>
        <w:spacing w:after="120"/>
        <w:ind w:firstLine="397"/>
        <w:jc w:val="both"/>
      </w:pPr>
      <w:r>
        <w:rPr>
          <w:rFonts w:ascii="Arial" w:cs="Arial" w:eastAsia="Arial" w:hAnsi="Arial"/>
          <w:sz w:val="24"/>
          <w:szCs w:val="24"/>
        </w:rPr>
        <w:t xml:space="preserve">- полное наименование заявителя, его место нахождения (адрес юридического лица) и адрес (адреса) места осуществления деятельности (в случае если адреса различаются) - для юридического лица или фамилия, имя и отчество (при наличии), место жительства и адрес (адреса) места осуществления деятельности (в случае если адреса различаются) - для физического лица, зарегистрированного в качестве индивидуального предпринимателя, а также регистрационный или учетный (индивидуальный, идентификационный) номер заявителя, присваиваемый при государственной регистрации юридического лица или физического лица в качестве индивидуального предпринимателя, номер телефона и адрес электронной почты;</w:t>
      </w:r>
    </w:p>
    <w:p>
      <w:pPr>
        <w:spacing w:after="120"/>
        <w:ind w:firstLine="397"/>
        <w:jc w:val="both"/>
      </w:pPr>
      <w:r>
        <w:rPr>
          <w:rFonts w:ascii="Arial" w:cs="Arial" w:eastAsia="Arial" w:hAnsi="Arial"/>
          <w:sz w:val="24"/>
          <w:szCs w:val="24"/>
        </w:rPr>
        <w:t xml:space="preserve">- полное наименование изготовителя продукции, его место нахождения (адрес юридического лица) и адрес (адреса) места осуществления деятельности по изготовлению продукции (в случае если адреса различаются) - для юридического лица и его филиалов, которые изготавливают продукцию или фамилия, имя и отчество (при наличии), место жительства и адрес (адреса) места осуществления деятельности по изготовлению продукции (в случае если адреса различаются) - для физического лица, зарегистрированного в качестве индивидуального предпринимателя;</w:t>
      </w:r>
    </w:p>
    <w:p>
      <w:pPr>
        <w:spacing w:after="120"/>
        <w:ind w:firstLine="397"/>
        <w:jc w:val="both"/>
      </w:pPr>
      <w:r>
        <w:rPr>
          <w:rFonts w:ascii="Arial" w:cs="Arial" w:eastAsia="Arial" w:hAnsi="Arial"/>
          <w:sz w:val="24"/>
          <w:szCs w:val="24"/>
        </w:rPr>
        <w:t xml:space="preserve">- наименование и обозначение продукции (в случаях, предусмотренных техническим регламентом) и (или) иное условное обозначение, присвоенное изготовителем продукции (при наличии);</w:t>
      </w:r>
    </w:p>
    <w:p>
      <w:pPr>
        <w:spacing w:after="120"/>
        <w:ind w:firstLine="397"/>
        <w:jc w:val="both"/>
      </w:pPr>
      <w:r>
        <w:rPr>
          <w:rFonts w:ascii="Arial" w:cs="Arial" w:eastAsia="Arial" w:hAnsi="Arial"/>
          <w:sz w:val="24"/>
          <w:szCs w:val="24"/>
        </w:rPr>
        <w:t xml:space="preserve">- название продукции (в случаях, предусмотренных техническим регламентом) (при наличии);</w:t>
      </w:r>
    </w:p>
    <w:p>
      <w:pPr>
        <w:spacing w:after="120"/>
        <w:ind w:firstLine="397"/>
        <w:jc w:val="both"/>
      </w:pPr>
      <w:r>
        <w:rPr>
          <w:rFonts w:ascii="Arial" w:cs="Arial" w:eastAsia="Arial" w:hAnsi="Arial"/>
          <w:sz w:val="24"/>
          <w:szCs w:val="24"/>
        </w:rPr>
        <w:t xml:space="preserve">- иные сведения о продукции, обеспечивающие ее идентификацию (при наличии);</w:t>
      </w:r>
    </w:p>
    <w:p>
      <w:pPr>
        <w:spacing w:after="120"/>
        <w:ind w:firstLine="397"/>
        <w:jc w:val="both"/>
      </w:pPr>
      <w:r>
        <w:rPr>
          <w:rFonts w:ascii="Arial" w:cs="Arial" w:eastAsia="Arial" w:hAnsi="Arial"/>
          <w:sz w:val="24"/>
          <w:szCs w:val="24"/>
        </w:rPr>
        <w:t xml:space="preserve">- обозначение и наименование документа (документов), в соответствии с которым изготовлена продукция (стандарт, стандарт организации, технические условия или иной документ) (при наличии);</w:t>
      </w:r>
    </w:p>
    <w:p>
      <w:pPr>
        <w:spacing w:after="120"/>
        <w:ind w:firstLine="397"/>
        <w:jc w:val="both"/>
      </w:pPr>
      <w:r>
        <w:rPr>
          <w:rFonts w:ascii="Arial" w:cs="Arial" w:eastAsia="Arial" w:hAnsi="Arial"/>
          <w:sz w:val="24"/>
          <w:szCs w:val="24"/>
        </w:rPr>
        <w:t xml:space="preserve">- код (коды) продукции в соответствии с единой Товарной номенклатурой внешнеэкономической деятельности Евразийского экономического союза (далее - ТН ВЭД ЕАЭС);</w:t>
      </w:r>
    </w:p>
    <w:p>
      <w:pPr>
        <w:spacing w:after="120"/>
        <w:ind w:firstLine="397"/>
        <w:jc w:val="both"/>
      </w:pPr>
      <w:r>
        <w:rPr>
          <w:rFonts w:ascii="Arial" w:cs="Arial" w:eastAsia="Arial" w:hAnsi="Arial"/>
          <w:sz w:val="24"/>
          <w:szCs w:val="24"/>
        </w:rPr>
        <w:t xml:space="preserve">- наименование объекта декларирования (серийный выпуск, партия или единичное изделие). Для продукции серийного выпуска производится запись «серийный выпуск». Для партии продукции указывается размер партии, для единичного изделия - заводской номер изделия. Для партии продукции и единичного изделия указываются реквизиты товаросопроводительной документации, идентифицирующей партию продукции (в том числе ее размер) или единичное изделие;</w:t>
      </w:r>
    </w:p>
    <w:p>
      <w:pPr>
        <w:spacing w:after="120"/>
        <w:ind w:firstLine="397"/>
        <w:jc w:val="both"/>
      </w:pPr>
      <w:r>
        <w:rPr>
          <w:rFonts w:ascii="Arial" w:cs="Arial" w:eastAsia="Arial" w:hAnsi="Arial"/>
          <w:sz w:val="24"/>
          <w:szCs w:val="24"/>
        </w:rPr>
        <w:t xml:space="preserve">- наименование технического регламента (технических регламентов), требованиям которого соответствует продукция;</w:t>
      </w:r>
    </w:p>
    <w:p>
      <w:pPr>
        <w:spacing w:after="120"/>
        <w:ind w:firstLine="397"/>
        <w:jc w:val="both"/>
      </w:pPr>
      <w:r>
        <w:rPr>
          <w:rFonts w:ascii="Arial" w:cs="Arial" w:eastAsia="Arial" w:hAnsi="Arial"/>
          <w:sz w:val="24"/>
          <w:szCs w:val="24"/>
        </w:rPr>
        <w:t xml:space="preserve">б) сведения, подтверждающие государственную регистрацию юридического лица или физического лица в качестве индивидуального предпринимателя в соответствии с законодательством государства-члена;</w:t>
      </w:r>
    </w:p>
    <w:p>
      <w:pPr>
        <w:spacing w:after="120"/>
        <w:ind w:firstLine="397"/>
        <w:jc w:val="both"/>
      </w:pPr>
      <w:r>
        <w:rPr>
          <w:rFonts w:ascii="Arial" w:cs="Arial" w:eastAsia="Arial" w:hAnsi="Arial"/>
          <w:sz w:val="24"/>
          <w:szCs w:val="24"/>
        </w:rPr>
        <w:t xml:space="preserve">в) копия договора с изготовителем (в том числе с иностранным изготовителем), предусматривающего обеспечение соответствия поставляемой на таможенную территорию Союза продукции требованиям технического регламента (технических регламентов) и ответственность за несоответствие такой продукции указанным требованиям (для уполномоченного изготовителем лица), заверенная печатью (если иное не установлено законодательством государства-члена) и подписью заявителя;</w:t>
      </w:r>
    </w:p>
    <w:p>
      <w:pPr>
        <w:spacing w:after="120"/>
        <w:ind w:firstLine="397"/>
        <w:jc w:val="both"/>
      </w:pPr>
      <w:r>
        <w:rPr>
          <w:rFonts w:ascii="Arial" w:cs="Arial" w:eastAsia="Arial" w:hAnsi="Arial"/>
          <w:sz w:val="24"/>
          <w:szCs w:val="24"/>
        </w:rPr>
        <w:t xml:space="preserve">г) копии доказательственных материалов, представление которых для регистрации декларации о соответствии предусмотрено техническим регламентом (техническими регламентами), в том числе результаты исследований (испытаний) и измерений продукции, подтверждающие соблюдение требований технического регламента (технических регламентов), действие которого на нее распространяется (в случае если техническим регламентом предусмотрено проведение исследований (испытаний) и измерений декларируемой продукции), заверенные печатью и подписью заявителя.</w:t>
      </w:r>
    </w:p>
    <w:p>
      <w:pPr>
        <w:spacing w:after="120"/>
        <w:ind w:firstLine="397"/>
        <w:jc w:val="both"/>
      </w:pPr>
      <w:r>
        <w:rPr>
          <w:rFonts w:ascii="Arial" w:cs="Arial" w:eastAsia="Arial" w:hAnsi="Arial"/>
          <w:sz w:val="24"/>
          <w:szCs w:val="24"/>
        </w:rPr>
        <w:t xml:space="preserve">4. Уполномоченный орган</w:t>
      </w:r>
      <w:r>
        <w:rPr>
          <w:rFonts w:ascii="Arial" w:cs="Arial" w:eastAsia="Arial" w:hAnsi="Arial"/>
          <w:sz w:val="24"/>
          <w:szCs w:val="24"/>
        </w:rPr>
        <w:t xml:space="preserve">, уполномоченный аккредитованный орган по сертификации</w:t>
      </w:r>
      <w:r>
        <w:rPr>
          <w:rFonts w:ascii="Arial" w:cs="Arial" w:eastAsia="Arial" w:hAnsi="Arial"/>
          <w:sz w:val="24"/>
          <w:szCs w:val="24"/>
        </w:rPr>
        <w:t xml:space="preserve"> или аккредитованный орган по сертификации продукции строительного назначения или технических средств связи рассматривает представленные заявителем документы и сведения на предмет:</w:t>
      </w:r>
    </w:p>
    <w:p>
      <w:pPr>
        <w:spacing w:after="120"/>
        <w:ind w:firstLine="397"/>
        <w:jc w:val="both"/>
      </w:pPr>
      <w:r>
        <w:rPr>
          <w:rFonts w:ascii="Arial" w:cs="Arial" w:eastAsia="Arial" w:hAnsi="Arial"/>
          <w:sz w:val="24"/>
          <w:szCs w:val="24"/>
        </w:rPr>
        <w:t xml:space="preserve">а) соблюдения требований к оформлению декларации о соответствии, установленных Решением Коллегии Евразийской экономической комиссии «О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 от 25 декабря 2012 года № 293;</w:t>
      </w:r>
    </w:p>
    <w:p>
      <w:pPr>
        <w:spacing w:after="120"/>
        <w:ind w:firstLine="397"/>
        <w:jc w:val="both"/>
      </w:pPr>
      <w:r>
        <w:rPr>
          <w:rFonts w:ascii="Arial" w:cs="Arial" w:eastAsia="Arial" w:hAnsi="Arial"/>
          <w:sz w:val="24"/>
          <w:szCs w:val="24"/>
        </w:rPr>
        <w:t xml:space="preserve">б) представления всех документов и сведений, предусмотренных </w:t>
      </w:r>
      <w:hyperlink w:history="1" r:id="rIdeosevgqaj-un6_ibyrgls">
        <w:r>
          <w:rPr>
            <w:rFonts w:ascii="Arial" w:cs="Arial" w:eastAsia="Arial" w:hAnsi="Arial"/>
            <w:color w:val="1D4ED8"/>
            <w:sz w:val="24"/>
            <w:szCs w:val="24"/>
            <w:u w:val="single"/>
          </w:rPr>
          <w:t xml:space="preserve">пунктом 3</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в) наличия в техническом регламенте требования, устанавливающего, что соответствие определенного вида продукции требованиям технического регламента подтверждается в форме принятия декларации о соответствии;</w:t>
      </w:r>
    </w:p>
    <w:p>
      <w:pPr>
        <w:spacing w:after="120"/>
        <w:ind w:firstLine="397"/>
        <w:jc w:val="both"/>
      </w:pPr>
      <w:r>
        <w:rPr>
          <w:rFonts w:ascii="Arial" w:cs="Arial" w:eastAsia="Arial" w:hAnsi="Arial"/>
          <w:sz w:val="24"/>
          <w:szCs w:val="24"/>
        </w:rPr>
        <w:t xml:space="preserve">г) соответствия заявителя, принявшего декларацию о соответствии, требованиям технического регламента, устанавливающим круг заявителей для определенного объекта декларирования соответствия (серийный выпуск, партия или единичное изделие).</w:t>
      </w:r>
    </w:p>
    <w:p>
      <w:pPr>
        <w:spacing w:after="120"/>
        <w:ind w:firstLine="39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v_kjy8uly3p3rcenyldkd">
        <w:r>
          <w:rPr>
            <w:rFonts w:ascii="Arial" w:cs="Arial" w:eastAsia="Arial" w:hAnsi="Arial"/>
            <w:i/>
            <w:iCs/>
            <w:color w:val="1D4ED8"/>
            <w:sz w:val="24"/>
            <w:szCs w:val="24"/>
            <w:u w:val="single"/>
          </w:rPr>
          <w:t xml:space="preserve">28 февраля 2024 года № 88</w:t>
        </w:r>
      </w:hyperlink>
      <w:r>
        <w:rPr>
          <w:rFonts w:ascii="Arial" w:cs="Arial" w:eastAsia="Arial" w:hAnsi="Arial"/>
          <w:sz w:val="24"/>
          <w:szCs w:val="24"/>
        </w:rPr>
        <w:t xml:space="preserve">, </w:t>
      </w:r>
      <w:hyperlink w:history="1" r:id="rIdntgbnsmk5zxia_qq047g-">
        <w:r>
          <w:rPr>
            <w:rFonts w:ascii="Arial" w:cs="Arial" w:eastAsia="Arial" w:hAnsi="Arial"/>
            <w:i/>
            <w:iCs/>
            <w:color w:val="1D4ED8"/>
            <w:sz w:val="24"/>
            <w:szCs w:val="24"/>
            <w:u w:val="single"/>
          </w:rPr>
          <w:t xml:space="preserve">29 июня 2026 года № 445</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5. По результатам рассмотрения в соответствии с </w:t>
      </w:r>
      <w:hyperlink w:history="1" r:id="rId8savmtpov62ltovz_7anq">
        <w:r>
          <w:rPr>
            <w:rFonts w:ascii="Arial" w:cs="Arial" w:eastAsia="Arial" w:hAnsi="Arial"/>
            <w:color w:val="1D4ED8"/>
            <w:sz w:val="24"/>
            <w:szCs w:val="24"/>
            <w:u w:val="single"/>
          </w:rPr>
          <w:t xml:space="preserve">пунктом 4</w:t>
        </w:r>
      </w:hyperlink>
      <w:r>
        <w:rPr>
          <w:rFonts w:ascii="Arial" w:cs="Arial" w:eastAsia="Arial" w:hAnsi="Arial"/>
          <w:sz w:val="24"/>
          <w:szCs w:val="24"/>
        </w:rPr>
        <w:t xml:space="preserve"> настоящего Положения документов и сведений, представленных заявителем, Уполномоченный орган</w:t>
      </w:r>
      <w:r>
        <w:rPr>
          <w:rFonts w:ascii="Arial" w:cs="Arial" w:eastAsia="Arial" w:hAnsi="Arial"/>
          <w:sz w:val="24"/>
          <w:szCs w:val="24"/>
        </w:rPr>
        <w:t xml:space="preserve">, уполномоченный аккредитованный орган по сертификации</w:t>
      </w:r>
      <w:r>
        <w:rPr>
          <w:rFonts w:ascii="Arial" w:cs="Arial" w:eastAsia="Arial" w:hAnsi="Arial"/>
          <w:sz w:val="24"/>
          <w:szCs w:val="24"/>
        </w:rPr>
        <w:t xml:space="preserve"> или аккредитованный орган по сертификации продукции строительного назначения или технических средств связи осуществляет регистрацию декларации о соответствии посредством присвоения ей регистрационного номера либо уведомляет заявителя об отказе в ее регистрации (с указанием причин отказа) в срок, не превышающий 5 рабочих дней со дня получения декларации о соответствии.</w:t>
      </w:r>
    </w:p>
    <w:p>
      <w:pPr>
        <w:spacing w:after="120"/>
        <w:ind w:firstLine="39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yev1ci8464v35w4elbj1h">
        <w:r>
          <w:rPr>
            <w:rFonts w:ascii="Arial" w:cs="Arial" w:eastAsia="Arial" w:hAnsi="Arial"/>
            <w:i/>
            <w:iCs/>
            <w:color w:val="1D4ED8"/>
            <w:sz w:val="24"/>
            <w:szCs w:val="24"/>
            <w:u w:val="single"/>
          </w:rPr>
          <w:t xml:space="preserve">28 февраля 2024 года № 88</w:t>
        </w:r>
      </w:hyperlink>
      <w:r>
        <w:rPr>
          <w:rFonts w:ascii="Arial" w:cs="Arial" w:eastAsia="Arial" w:hAnsi="Arial"/>
          <w:sz w:val="24"/>
          <w:szCs w:val="24"/>
        </w:rPr>
        <w:t xml:space="preserve">, </w:t>
      </w:r>
      <w:hyperlink w:history="1" r:id="rIdy1oojz0tm5hpop6c1okt3">
        <w:r>
          <w:rPr>
            <w:rFonts w:ascii="Arial" w:cs="Arial" w:eastAsia="Arial" w:hAnsi="Arial"/>
            <w:i/>
            <w:iCs/>
            <w:color w:val="1D4ED8"/>
            <w:sz w:val="24"/>
            <w:szCs w:val="24"/>
            <w:u w:val="single"/>
          </w:rPr>
          <w:t xml:space="preserve">29 июня 2026 года № 445</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6. В национальную часть Единого реестра вносятся сведения о декларации о соответствии согласно установленным требованиям, а также сведения о документах, указанных в подпунктах «в» и «г» </w:t>
      </w:r>
      <w:hyperlink w:history="1" r:id="rIdxsnroqrvfnej-ygodfssu">
        <w:r>
          <w:rPr>
            <w:rFonts w:ascii="Arial" w:cs="Arial" w:eastAsia="Arial" w:hAnsi="Arial"/>
            <w:color w:val="1D4ED8"/>
            <w:sz w:val="24"/>
            <w:szCs w:val="24"/>
            <w:u w:val="single"/>
          </w:rPr>
          <w:t xml:space="preserve">пункта 3</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7. Уведомление об отказе в регистрации декларации о соответствии направляется заявителю в виде документа на бумажном носителе заказным почтовым отправлением с уведомлением о вручении или вручается заявителю.</w:t>
      </w:r>
    </w:p>
    <w:p>
      <w:pPr>
        <w:spacing w:after="120"/>
        <w:ind w:firstLine="397"/>
        <w:jc w:val="both"/>
      </w:pPr>
      <w:r>
        <w:rPr>
          <w:rFonts w:ascii="Arial" w:cs="Arial" w:eastAsia="Arial" w:hAnsi="Arial"/>
          <w:sz w:val="24"/>
          <w:szCs w:val="24"/>
        </w:rPr>
        <w:t xml:space="preserve">8. Основаниями для отказа в регистрации декларации о соответствии являются:</w:t>
      </w:r>
    </w:p>
    <w:p>
      <w:pPr>
        <w:spacing w:after="120"/>
        <w:ind w:firstLine="397"/>
        <w:jc w:val="both"/>
      </w:pPr>
      <w:r>
        <w:rPr>
          <w:rFonts w:ascii="Arial" w:cs="Arial" w:eastAsia="Arial" w:hAnsi="Arial"/>
          <w:sz w:val="24"/>
          <w:szCs w:val="24"/>
        </w:rPr>
        <w:t xml:space="preserve">а) несоблюдение заявителем требований к оформлению декларации о соответствии, установленных Решением Коллегии Евразийской экономической комиссии «О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 от 25 декабря 2012 года № 293;</w:t>
      </w:r>
    </w:p>
    <w:p>
      <w:pPr>
        <w:spacing w:after="120"/>
        <w:ind w:firstLine="397"/>
        <w:jc w:val="both"/>
      </w:pPr>
      <w:r>
        <w:rPr>
          <w:rFonts w:ascii="Arial" w:cs="Arial" w:eastAsia="Arial" w:hAnsi="Arial"/>
          <w:sz w:val="24"/>
          <w:szCs w:val="24"/>
        </w:rPr>
        <w:t xml:space="preserve">б) представление документов и сведений, предусмотренных </w:t>
      </w:r>
      <w:hyperlink w:history="1" r:id="rIdqzox_pqbntd56rz51zhdj">
        <w:r>
          <w:rPr>
            <w:rFonts w:ascii="Arial" w:cs="Arial" w:eastAsia="Arial" w:hAnsi="Arial"/>
            <w:color w:val="1D4ED8"/>
            <w:sz w:val="24"/>
            <w:szCs w:val="24"/>
            <w:u w:val="single"/>
          </w:rPr>
          <w:t xml:space="preserve">пунктом 3</w:t>
        </w:r>
      </w:hyperlink>
      <w:r>
        <w:rPr>
          <w:rFonts w:ascii="Arial" w:cs="Arial" w:eastAsia="Arial" w:hAnsi="Arial"/>
          <w:sz w:val="24"/>
          <w:szCs w:val="24"/>
        </w:rPr>
        <w:t xml:space="preserve"> настоящего Положения, не в полном объеме;</w:t>
      </w:r>
    </w:p>
    <w:p>
      <w:pPr>
        <w:spacing w:after="120"/>
        <w:ind w:firstLine="397"/>
        <w:jc w:val="both"/>
      </w:pPr>
      <w:r>
        <w:rPr>
          <w:rFonts w:ascii="Arial" w:cs="Arial" w:eastAsia="Arial" w:hAnsi="Arial"/>
          <w:sz w:val="24"/>
          <w:szCs w:val="24"/>
        </w:rPr>
        <w:t xml:space="preserve">в) отсутствие в техническом регламенте требования, устанавливающего, что соответствие определенного вида продукции требованиям технического регламента подтверждается в форме принятия декларации о соответствии;</w:t>
      </w:r>
    </w:p>
    <w:p>
      <w:pPr>
        <w:spacing w:after="120"/>
        <w:ind w:firstLine="397"/>
        <w:jc w:val="both"/>
      </w:pPr>
      <w:r>
        <w:rPr>
          <w:rFonts w:ascii="Arial" w:cs="Arial" w:eastAsia="Arial" w:hAnsi="Arial"/>
          <w:sz w:val="24"/>
          <w:szCs w:val="24"/>
        </w:rPr>
        <w:t xml:space="preserve">г) несоответствие заявителя, принявшего декларацию о соответствии, требованиям технического регламента, устанавливающим круг заявителей для определенного объекта декларирования соответствия (серийный выпуск, партия или единичное изделие).</w:t>
      </w:r>
    </w:p>
    <w:p>
      <w:pPr>
        <w:spacing w:after="120"/>
        <w:ind w:firstLine="397"/>
        <w:jc w:val="both"/>
      </w:pPr>
      <w:r>
        <w:rPr>
          <w:rFonts w:ascii="Arial" w:cs="Arial" w:eastAsia="Arial" w:hAnsi="Arial"/>
          <w:sz w:val="24"/>
          <w:szCs w:val="24"/>
        </w:rPr>
        <w:t xml:space="preserve">9. Услуги по регистрации деклараций о соответствии уполномоченным органом проводятся в соответствии с законодательством в области государственных услуг.</w:t>
      </w:r>
    </w:p>
    <w:p>
      <w:pPr>
        <w:spacing w:after="120"/>
        <w:ind w:firstLine="397"/>
        <w:jc w:val="both"/>
      </w:pPr>
      <w:r>
        <w:rPr>
          <w:rFonts w:ascii="Arial" w:cs="Arial" w:eastAsia="Arial" w:hAnsi="Arial"/>
          <w:sz w:val="24"/>
          <w:szCs w:val="24"/>
        </w:rPr>
        <w:t xml:space="preserve">Уполномоченным аккредитованным органам по сертификации, аккредитованным органам по сертификации продукции строительного назначения и (или) технических средств связи оплата производится по их прейскуранту на работы и услуги по подтверждению соответствия.</w:t>
      </w:r>
    </w:p>
    <w:p>
      <w:pPr>
        <w:spacing w:after="120"/>
        <w:ind w:firstLine="39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a4xbndlaydi-tjcejo6m">
        <w:r>
          <w:rPr>
            <w:rFonts w:ascii="Arial" w:cs="Arial" w:eastAsia="Arial" w:hAnsi="Arial"/>
            <w:i/>
            <w:iCs/>
            <w:color w:val="1D4ED8"/>
            <w:sz w:val="24"/>
            <w:szCs w:val="24"/>
            <w:u w:val="single"/>
          </w:rPr>
          <w:t xml:space="preserve">28 февраля 2024 года № 88</w:t>
        </w:r>
      </w:hyperlink>
      <w:r>
        <w:rPr>
          <w:rFonts w:ascii="Arial" w:cs="Arial" w:eastAsia="Arial" w:hAnsi="Arial"/>
          <w:sz w:val="24"/>
          <w:szCs w:val="24"/>
        </w:rPr>
        <w:t xml:space="preserve">, </w:t>
      </w:r>
      <w:hyperlink w:history="1" r:id="rIdkffe4f8qx0flxzpryhd0e">
        <w:r>
          <w:rPr>
            <w:rFonts w:ascii="Arial" w:cs="Arial" w:eastAsia="Arial" w:hAnsi="Arial"/>
            <w:i/>
            <w:iCs/>
            <w:color w:val="1D4ED8"/>
            <w:sz w:val="24"/>
            <w:szCs w:val="24"/>
            <w:u w:val="single"/>
          </w:rPr>
          <w:t xml:space="preserve">29 июня 2026 года № 445</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10. Внесение изменений в зарегистрированную декларацию о соответствии не допускается. При необходимости внесения изменений заявитель принимает новую декларацию о соответствии и осуществляет ее регистрацию согласно настоящему Положению.</w:t>
      </w:r>
    </w:p>
    <w:p>
      <w:pPr>
        <w:spacing w:after="120"/>
        <w:ind w:firstLine="397"/>
        <w:jc w:val="both"/>
      </w:pPr>
      <w:r>
        <w:rPr>
          <w:rFonts w:ascii="Arial" w:cs="Arial" w:eastAsia="Arial" w:hAnsi="Arial"/>
          <w:sz w:val="24"/>
          <w:szCs w:val="24"/>
        </w:rPr>
        <w:t xml:space="preserve">11. Заявитель принимает новую декларацию о соответствии и осуществляет ее регистрацию без представления документов и сведений, предусмотренных подпунктами «б»-»г» </w:t>
      </w:r>
      <w:hyperlink w:history="1" r:id="rIdi2wc3qksu8kvxcdblu71u">
        <w:r>
          <w:rPr>
            <w:rFonts w:ascii="Arial" w:cs="Arial" w:eastAsia="Arial" w:hAnsi="Arial"/>
            <w:color w:val="1D4ED8"/>
            <w:sz w:val="24"/>
            <w:szCs w:val="24"/>
            <w:u w:val="single"/>
          </w:rPr>
          <w:t xml:space="preserve">пункта 3</w:t>
        </w:r>
      </w:hyperlink>
      <w:r>
        <w:rPr>
          <w:rFonts w:ascii="Arial" w:cs="Arial" w:eastAsia="Arial" w:hAnsi="Arial"/>
          <w:sz w:val="24"/>
          <w:szCs w:val="24"/>
        </w:rPr>
        <w:t xml:space="preserve"> настоящего Положения, в следующих случаях:</w:t>
      </w:r>
    </w:p>
    <w:p>
      <w:pPr>
        <w:spacing w:after="120"/>
        <w:ind w:firstLine="397"/>
        <w:jc w:val="both"/>
      </w:pPr>
      <w:r>
        <w:rPr>
          <w:rFonts w:ascii="Arial" w:cs="Arial" w:eastAsia="Arial" w:hAnsi="Arial"/>
          <w:sz w:val="24"/>
          <w:szCs w:val="24"/>
        </w:rPr>
        <w:t xml:space="preserve">- выявление в декларации о соответствии и приложениях к ней ошибок (опечаток);</w:t>
      </w:r>
    </w:p>
    <w:p>
      <w:pPr>
        <w:spacing w:after="120"/>
        <w:ind w:firstLine="397"/>
        <w:jc w:val="both"/>
      </w:pPr>
      <w:r>
        <w:rPr>
          <w:rFonts w:ascii="Arial" w:cs="Arial" w:eastAsia="Arial" w:hAnsi="Arial"/>
          <w:sz w:val="24"/>
          <w:szCs w:val="24"/>
        </w:rPr>
        <w:t xml:space="preserve">- изменение организационно-правовой формы, места нахождения (адреса юридического лица), адреса места осуществления деятельности (в случае, если адреса различаются), номера телефона и (или) адреса электронной почты заявителя;</w:t>
      </w:r>
    </w:p>
    <w:p>
      <w:pPr>
        <w:spacing w:after="120"/>
        <w:ind w:firstLine="397"/>
        <w:jc w:val="both"/>
      </w:pPr>
      <w:r>
        <w:rPr>
          <w:rFonts w:ascii="Arial" w:cs="Arial" w:eastAsia="Arial" w:hAnsi="Arial"/>
          <w:sz w:val="24"/>
          <w:szCs w:val="24"/>
        </w:rPr>
        <w:t xml:space="preserve">- изменение организационно-правовой формы, места нахождения (адреса юридического лица) изготовителя продукции;</w:t>
      </w:r>
    </w:p>
    <w:p>
      <w:pPr>
        <w:spacing w:after="120"/>
        <w:ind w:firstLine="397"/>
        <w:jc w:val="both"/>
      </w:pPr>
      <w:r>
        <w:rPr>
          <w:rFonts w:ascii="Arial" w:cs="Arial" w:eastAsia="Arial" w:hAnsi="Arial"/>
          <w:sz w:val="24"/>
          <w:szCs w:val="24"/>
        </w:rPr>
        <w:t xml:space="preserve">- изменение кода (кодов) ТН ВЭД ЕАЭС;</w:t>
      </w:r>
    </w:p>
    <w:p>
      <w:pPr>
        <w:spacing w:after="120"/>
        <w:ind w:firstLine="397"/>
        <w:jc w:val="both"/>
      </w:pPr>
      <w:r>
        <w:rPr>
          <w:rFonts w:ascii="Arial" w:cs="Arial" w:eastAsia="Arial" w:hAnsi="Arial"/>
          <w:sz w:val="24"/>
          <w:szCs w:val="24"/>
        </w:rPr>
        <w:t xml:space="preserve">- сокращение количества адресов мест осуществления деятельности по изготовлению продукции.</w:t>
      </w:r>
    </w:p>
    <w:p>
      <w:pPr>
        <w:spacing w:after="120"/>
        <w:ind w:firstLine="397"/>
        <w:jc w:val="both"/>
      </w:pPr>
      <w:r>
        <w:rPr>
          <w:rFonts w:ascii="Arial" w:cs="Arial" w:eastAsia="Arial" w:hAnsi="Arial"/>
          <w:sz w:val="24"/>
          <w:szCs w:val="24"/>
        </w:rPr>
        <w:t xml:space="preserve">В случае изменения номера телефона и (или) адреса электронной почты заявителя, а также кода (кодов) ТН ВЭД ЕАЭС замена декларации о соответствии и (или) приложений к ней не требуется и осуществляется по усмотрению заявителя.</w:t>
      </w:r>
    </w:p>
    <w:p>
      <w:pPr>
        <w:spacing w:after="120"/>
        <w:ind w:firstLine="397"/>
        <w:jc w:val="both"/>
      </w:pPr>
      <w:r>
        <w:rPr>
          <w:rFonts w:ascii="Arial" w:cs="Arial" w:eastAsia="Arial" w:hAnsi="Arial"/>
          <w:sz w:val="24"/>
          <w:szCs w:val="24"/>
        </w:rPr>
        <w:t xml:space="preserve">12. Заявление, указанное в подпункте «а» </w:t>
      </w:r>
      <w:hyperlink w:history="1" r:id="rIdm4t2ags49ep4yqbnag74l">
        <w:r>
          <w:rPr>
            <w:rFonts w:ascii="Arial" w:cs="Arial" w:eastAsia="Arial" w:hAnsi="Arial"/>
            <w:color w:val="1D4ED8"/>
            <w:sz w:val="24"/>
            <w:szCs w:val="24"/>
            <w:u w:val="single"/>
          </w:rPr>
          <w:t xml:space="preserve">пункта 3</w:t>
        </w:r>
      </w:hyperlink>
      <w:r>
        <w:rPr>
          <w:rFonts w:ascii="Arial" w:cs="Arial" w:eastAsia="Arial" w:hAnsi="Arial"/>
          <w:sz w:val="24"/>
          <w:szCs w:val="24"/>
        </w:rPr>
        <w:t xml:space="preserve"> настоящего Положения, и копия зарегистрированной декларации о соответствии с приложением документов и сведений, указанных в подпунктах «б»-»г» </w:t>
      </w:r>
      <w:hyperlink w:history="1" r:id="rIdzk0ecnqjxptbskry2vwjb">
        <w:r>
          <w:rPr>
            <w:rFonts w:ascii="Arial" w:cs="Arial" w:eastAsia="Arial" w:hAnsi="Arial"/>
            <w:color w:val="1D4ED8"/>
            <w:sz w:val="24"/>
            <w:szCs w:val="24"/>
            <w:u w:val="single"/>
          </w:rPr>
          <w:t xml:space="preserve">пункта 3</w:t>
        </w:r>
      </w:hyperlink>
      <w:r>
        <w:rPr>
          <w:rFonts w:ascii="Arial" w:cs="Arial" w:eastAsia="Arial" w:hAnsi="Arial"/>
          <w:sz w:val="24"/>
          <w:szCs w:val="24"/>
        </w:rPr>
        <w:t xml:space="preserve"> настоящего Положения, хранятся на бумажных и (или) электронных носителях в уполномоченном органе</w:t>
      </w:r>
      <w:r>
        <w:rPr>
          <w:rFonts w:ascii="Arial" w:cs="Arial" w:eastAsia="Arial" w:hAnsi="Arial"/>
          <w:sz w:val="24"/>
          <w:szCs w:val="24"/>
        </w:rPr>
        <w:t xml:space="preserve">, уполномоченном аккредитованном органе по сертификации</w:t>
      </w:r>
      <w:r>
        <w:rPr>
          <w:rFonts w:ascii="Arial" w:cs="Arial" w:eastAsia="Arial" w:hAnsi="Arial"/>
          <w:sz w:val="24"/>
          <w:szCs w:val="24"/>
        </w:rPr>
        <w:t xml:space="preserve"> или аккредитованном органе по сертификации продукции строительного назначения или технических средств связи в течение не менее 5 лет после окончания срока действия декларации о соответствии, а если срок действия декларации о соответствии не ограничен, - не менее 10 лет с даты ее регистрации.</w:t>
      </w:r>
    </w:p>
    <w:p>
      <w:pPr>
        <w:spacing w:after="120"/>
        <w:ind w:firstLine="397"/>
        <w:jc w:val="both"/>
      </w:pPr>
      <w:r>
        <w:rPr>
          <w:rFonts w:ascii="Arial" w:cs="Arial" w:eastAsia="Arial" w:hAnsi="Arial"/>
          <w:sz w:val="24"/>
          <w:szCs w:val="24"/>
        </w:rPr>
        <w:t xml:space="preserve">Требования к хранению у заявителя декларации о соответствии на бумажном и (или) электронном носителях с приложением документов, предусмотренных техническим регламентом (техническими регламентами), устанавливаются техническим регламентом (техническими регламентами).</w:t>
      </w:r>
    </w:p>
    <w:p>
      <w:pPr>
        <w:spacing w:after="120"/>
        <w:ind w:firstLine="397"/>
        <w:jc w:val="both"/>
      </w:pPr>
      <w:r>
        <w:rPr>
          <w:rFonts w:ascii="Arial" w:cs="Arial" w:eastAsia="Arial" w:hAnsi="Arial"/>
          <w:sz w:val="24"/>
          <w:szCs w:val="24"/>
        </w:rPr>
        <w:t xml:space="preserve">В случае если техническим регламентом (техническими регламентами) не установлен срок хранения у заявителя декларации о соответствии с приложением документов, срок хранения составляет 10 лет с даты ее регистрации.</w:t>
      </w:r>
    </w:p>
    <w:p>
      <w:pPr>
        <w:spacing w:after="120"/>
        <w:ind w:firstLine="397"/>
        <w:jc w:val="both"/>
      </w:pPr>
      <w:r>
        <w:rPr>
          <w:rFonts w:ascii="Arial" w:cs="Arial" w:eastAsia="Arial" w:hAnsi="Arial"/>
          <w:sz w:val="24"/>
          <w:szCs w:val="24"/>
        </w:rPr>
        <w:t xml:space="preserve">В случае если на продукцию распространяется действие нескольких технических регламентов, которые устанавливают разные сроки хранения, у заявителя декларации о соответствии с приложением документов, применяется наибольший из установленных сроков хранения.</w:t>
      </w:r>
    </w:p>
    <w:p>
      <w:pPr>
        <w:spacing w:after="120"/>
        <w:ind w:firstLine="39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8oz4hm8ihdi1bohssestj">
        <w:r>
          <w:rPr>
            <w:rFonts w:ascii="Arial" w:cs="Arial" w:eastAsia="Arial" w:hAnsi="Arial"/>
            <w:i/>
            <w:iCs/>
            <w:color w:val="1D4ED8"/>
            <w:sz w:val="24"/>
            <w:szCs w:val="24"/>
            <w:u w:val="single"/>
          </w:rPr>
          <w:t xml:space="preserve">28 февраля 2024 года № 88</w:t>
        </w:r>
      </w:hyperlink>
      <w:r>
        <w:rPr>
          <w:rFonts w:ascii="Arial" w:cs="Arial" w:eastAsia="Arial" w:hAnsi="Arial"/>
          <w:sz w:val="24"/>
          <w:szCs w:val="24"/>
        </w:rPr>
        <w:t xml:space="preserve">, </w:t>
      </w:r>
      <w:hyperlink w:history="1" r:id="rIdaoe8dpdypq2edo3rs8co-">
        <w:r>
          <w:rPr>
            <w:rFonts w:ascii="Arial" w:cs="Arial" w:eastAsia="Arial" w:hAnsi="Arial"/>
            <w:i/>
            <w:iCs/>
            <w:color w:val="1D4ED8"/>
            <w:sz w:val="24"/>
            <w:szCs w:val="24"/>
            <w:u w:val="single"/>
          </w:rPr>
          <w:t xml:space="preserve">29 июня 2026 года № 445</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13. Копия зарегистрированной декларации о соответствии, документы и сведения, указанные в </w:t>
      </w:r>
      <w:hyperlink w:history="1" r:id="rIdwlsrw-suisir8qxmyogzx">
        <w:r>
          <w:rPr>
            <w:rFonts w:ascii="Arial" w:cs="Arial" w:eastAsia="Arial" w:hAnsi="Arial"/>
            <w:color w:val="1D4ED8"/>
            <w:sz w:val="24"/>
            <w:szCs w:val="24"/>
            <w:u w:val="single"/>
          </w:rPr>
          <w:t xml:space="preserve">пункте 3</w:t>
        </w:r>
      </w:hyperlink>
      <w:r>
        <w:rPr>
          <w:rFonts w:ascii="Arial" w:cs="Arial" w:eastAsia="Arial" w:hAnsi="Arial"/>
          <w:sz w:val="24"/>
          <w:szCs w:val="24"/>
        </w:rPr>
        <w:t xml:space="preserve"> настоящего Положения, представляются уполномоченным государственным органам, осуществляющим государственный контроль (надзор) за соблюдением требований технического регламента по их требованию.</w:t>
      </w:r>
    </w:p>
    <w:p>
      <w:pPr>
        <w:spacing w:after="120"/>
        <w:ind w:firstLine="397"/>
        <w:jc w:val="both"/>
      </w:pPr>
      <w:r>
        <w:rPr>
          <w:rFonts w:ascii="Arial" w:cs="Arial" w:eastAsia="Arial" w:hAnsi="Arial"/>
          <w:sz w:val="24"/>
          <w:szCs w:val="24"/>
        </w:rPr>
        <w:t xml:space="preserve">14. В случае выявления несоответствия продукции обязательным требованиям технических регламентов уполномоченный государственный орган, осуществляющий государственный контроль (надзор) за соблюдением требований технического регламента, выдает заявителю предписание о приостановлении действия декларации о соответствии.</w:t>
      </w:r>
    </w:p>
    <w:p>
      <w:pPr>
        <w:spacing w:after="120"/>
        <w:ind w:firstLine="397"/>
        <w:jc w:val="both"/>
      </w:pPr>
      <w:r>
        <w:rPr>
          <w:rFonts w:ascii="Arial" w:cs="Arial" w:eastAsia="Arial" w:hAnsi="Arial"/>
          <w:sz w:val="24"/>
          <w:szCs w:val="24"/>
        </w:rPr>
        <w:t xml:space="preserve">15. Заявитель обязан в однодневный срок официально сообщить в уполномоченный орган</w:t>
      </w:r>
      <w:r>
        <w:rPr>
          <w:rFonts w:ascii="Arial" w:cs="Arial" w:eastAsia="Arial" w:hAnsi="Arial"/>
          <w:sz w:val="24"/>
          <w:szCs w:val="24"/>
        </w:rPr>
        <w:t xml:space="preserve">, уполномоченный аккредитованный орган по сертификации</w:t>
      </w:r>
      <w:r>
        <w:rPr>
          <w:rFonts w:ascii="Arial" w:cs="Arial" w:eastAsia="Arial" w:hAnsi="Arial"/>
          <w:sz w:val="24"/>
          <w:szCs w:val="24"/>
        </w:rPr>
        <w:t xml:space="preserve"> или аккредитованный орган по сертификации продукции строительного назначения или технических средств связи, зарегистрировавший декларацию, о прекращении (приостановке) ее действия.</w:t>
      </w:r>
    </w:p>
    <w:p>
      <w:pPr>
        <w:spacing w:after="120"/>
        <w:ind w:firstLine="39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ljjlh8u_co4exr8vehs5k">
        <w:r>
          <w:rPr>
            <w:rFonts w:ascii="Arial" w:cs="Arial" w:eastAsia="Arial" w:hAnsi="Arial"/>
            <w:i/>
            <w:iCs/>
            <w:color w:val="1D4ED8"/>
            <w:sz w:val="24"/>
            <w:szCs w:val="24"/>
            <w:u w:val="single"/>
          </w:rPr>
          <w:t xml:space="preserve">28 февраля 2024 года № 88</w:t>
        </w:r>
      </w:hyperlink>
      <w:r>
        <w:rPr>
          <w:rFonts w:ascii="Arial" w:cs="Arial" w:eastAsia="Arial" w:hAnsi="Arial"/>
          <w:sz w:val="24"/>
          <w:szCs w:val="24"/>
        </w:rPr>
        <w:t xml:space="preserve">, </w:t>
      </w:r>
      <w:hyperlink w:history="1" r:id="rIdy9oxbfhjskpfw-x6ommhh">
        <w:r>
          <w:rPr>
            <w:rFonts w:ascii="Arial" w:cs="Arial" w:eastAsia="Arial" w:hAnsi="Arial"/>
            <w:i/>
            <w:iCs/>
            <w:color w:val="1D4ED8"/>
            <w:sz w:val="24"/>
            <w:szCs w:val="24"/>
            <w:u w:val="single"/>
          </w:rPr>
          <w:t xml:space="preserve">29 июня 2026 года № 445</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16. Уполномоченный орган</w:t>
      </w:r>
      <w:r>
        <w:rPr>
          <w:rFonts w:ascii="Arial" w:cs="Arial" w:eastAsia="Arial" w:hAnsi="Arial"/>
          <w:sz w:val="24"/>
          <w:szCs w:val="24"/>
        </w:rPr>
        <w:t xml:space="preserve">, уполномоченный аккредитованный орган по сертификации</w:t>
      </w:r>
      <w:r>
        <w:rPr>
          <w:rFonts w:ascii="Arial" w:cs="Arial" w:eastAsia="Arial" w:hAnsi="Arial"/>
          <w:sz w:val="24"/>
          <w:szCs w:val="24"/>
        </w:rPr>
        <w:t xml:space="preserve"> или аккредитованный орган по сертификации продукции строительного назначения или технических средств связи, зарегистрировавший декларацию, на основании полученного официального сообщения в однодневный срок вносит в Единый реестр запись о приостановке действия декларации о соответствии.</w:t>
      </w:r>
    </w:p>
    <w:p>
      <w:pPr>
        <w:spacing w:after="120"/>
        <w:ind w:firstLine="39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hmnfwk1x5gby6_l4bx98r">
        <w:r>
          <w:rPr>
            <w:rFonts w:ascii="Arial" w:cs="Arial" w:eastAsia="Arial" w:hAnsi="Arial"/>
            <w:i/>
            <w:iCs/>
            <w:color w:val="1D4ED8"/>
            <w:sz w:val="24"/>
            <w:szCs w:val="24"/>
            <w:u w:val="single"/>
          </w:rPr>
          <w:t xml:space="preserve">28 февраля 2024 года № 88</w:t>
        </w:r>
      </w:hyperlink>
      <w:r>
        <w:rPr>
          <w:rFonts w:ascii="Arial" w:cs="Arial" w:eastAsia="Arial" w:hAnsi="Arial"/>
          <w:sz w:val="24"/>
          <w:szCs w:val="24"/>
        </w:rPr>
        <w:t xml:space="preserve">, </w:t>
      </w:r>
      <w:hyperlink w:history="1" r:id="rIdyo59ivzmmtymd40k5qgvj">
        <w:r>
          <w:rPr>
            <w:rFonts w:ascii="Arial" w:cs="Arial" w:eastAsia="Arial" w:hAnsi="Arial"/>
            <w:i/>
            <w:iCs/>
            <w:color w:val="1D4ED8"/>
            <w:sz w:val="24"/>
            <w:szCs w:val="24"/>
            <w:u w:val="single"/>
          </w:rPr>
          <w:t xml:space="preserve">29 июня 2026 года № 445</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17. Возобновление действия декларации о соответствии возможно после устранения выявленных несоответствий и представления доказательных материалов в уполномоченный орган</w:t>
      </w:r>
      <w:r>
        <w:rPr>
          <w:rFonts w:ascii="Arial" w:cs="Arial" w:eastAsia="Arial" w:hAnsi="Arial"/>
          <w:sz w:val="24"/>
          <w:szCs w:val="24"/>
        </w:rPr>
        <w:t xml:space="preserve">, уполномоченный аккредитованный орган по сертификации</w:t>
      </w:r>
      <w:r>
        <w:rPr>
          <w:rFonts w:ascii="Arial" w:cs="Arial" w:eastAsia="Arial" w:hAnsi="Arial"/>
          <w:sz w:val="24"/>
          <w:szCs w:val="24"/>
        </w:rPr>
        <w:t xml:space="preserve"> или аккредитованный орган по сертификации продукции строительного назначения или технических средств связи, зарегистрировавший декларацию.</w:t>
      </w:r>
    </w:p>
    <w:p>
      <w:pPr>
        <w:spacing w:after="120"/>
        <w:ind w:firstLine="39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bk6abbablev97akoyezn">
        <w:r>
          <w:rPr>
            <w:rFonts w:ascii="Arial" w:cs="Arial" w:eastAsia="Arial" w:hAnsi="Arial"/>
            <w:i/>
            <w:iCs/>
            <w:color w:val="1D4ED8"/>
            <w:sz w:val="24"/>
            <w:szCs w:val="24"/>
            <w:u w:val="single"/>
          </w:rPr>
          <w:t xml:space="preserve">28 февраля 2024 года № 88</w:t>
        </w:r>
      </w:hyperlink>
      <w:r>
        <w:rPr>
          <w:rFonts w:ascii="Arial" w:cs="Arial" w:eastAsia="Arial" w:hAnsi="Arial"/>
          <w:sz w:val="24"/>
          <w:szCs w:val="24"/>
        </w:rPr>
        <w:t xml:space="preserve">, </w:t>
      </w:r>
      <w:hyperlink w:history="1" r:id="rId7tccamqlm6lrk5tc-ec2d">
        <w:r>
          <w:rPr>
            <w:rFonts w:ascii="Arial" w:cs="Arial" w:eastAsia="Arial" w:hAnsi="Arial"/>
            <w:i/>
            <w:iCs/>
            <w:color w:val="1D4ED8"/>
            <w:sz w:val="24"/>
            <w:szCs w:val="24"/>
            <w:u w:val="single"/>
          </w:rPr>
          <w:t xml:space="preserve">29 июня 2026 года № 445</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18. </w:t>
      </w:r>
      <w:r>
        <w:rPr>
          <w:rFonts w:ascii="Arial" w:cs="Arial" w:eastAsia="Arial" w:hAnsi="Arial"/>
          <w:sz w:val="24"/>
          <w:szCs w:val="24"/>
        </w:rPr>
        <w:t xml:space="preserve">Основаниями для прекращения действия декларации о соответствии являются:</w:t>
      </w:r>
    </w:p>
    <w:p>
      <w:pPr>
        <w:spacing w:after="120"/>
        <w:ind w:firstLine="397"/>
        <w:jc w:val="both"/>
      </w:pPr>
      <w:r>
        <w:rPr>
          <w:rFonts w:ascii="Arial" w:cs="Arial" w:eastAsia="Arial" w:hAnsi="Arial"/>
          <w:sz w:val="24"/>
          <w:szCs w:val="24"/>
        </w:rPr>
        <w:t xml:space="preserve">1) обращение заявителя о прекращении действия декларации о соответствии (путем подачи уведомления в уполномоченный орган, зарегистрировавший декларацию о соответствии);</w:t>
      </w:r>
    </w:p>
    <w:p>
      <w:pPr>
        <w:spacing w:after="120"/>
        <w:ind w:firstLine="397"/>
        <w:jc w:val="both"/>
      </w:pPr>
      <w:r>
        <w:rPr>
          <w:rFonts w:ascii="Arial" w:cs="Arial" w:eastAsia="Arial" w:hAnsi="Arial"/>
          <w:sz w:val="24"/>
          <w:szCs w:val="24"/>
        </w:rPr>
        <w:t xml:space="preserve">2) установление фактов несоответствия продукции, документов об оценке соответствия требованиям, установленным техническими регламентами, или обязательным требованиям, подлежащим применению до вступления в силу технических регламентов в соответствии с </w:t>
      </w:r>
      <w:hyperlink w:history="1" r:id="rIdpuqc7evm-to_460qzs32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техническом регулировании в Кыргызской Республике», с учетом того, что несоответствие не может быть устранено проведением корректирующих мероприятий;</w:t>
      </w:r>
    </w:p>
    <w:p>
      <w:pPr>
        <w:spacing w:after="120"/>
        <w:ind w:firstLine="397"/>
        <w:jc w:val="both"/>
      </w:pPr>
      <w:r>
        <w:rPr>
          <w:rFonts w:ascii="Arial" w:cs="Arial" w:eastAsia="Arial" w:hAnsi="Arial"/>
          <w:sz w:val="24"/>
          <w:szCs w:val="24"/>
        </w:rPr>
        <w:t xml:space="preserve">3) регистрация декларации о соответствии вне области аккредитации;</w:t>
      </w:r>
    </w:p>
    <w:p>
      <w:pPr>
        <w:spacing w:after="120"/>
        <w:ind w:firstLine="397"/>
        <w:jc w:val="both"/>
      </w:pPr>
      <w:r>
        <w:rPr>
          <w:rFonts w:ascii="Arial" w:cs="Arial" w:eastAsia="Arial" w:hAnsi="Arial"/>
          <w:sz w:val="24"/>
          <w:szCs w:val="24"/>
        </w:rPr>
        <w:t xml:space="preserve">4) нарушение заявителем схемы декларирования, процедур оценки соответствия;</w:t>
      </w:r>
    </w:p>
    <w:p>
      <w:pPr>
        <w:spacing w:after="120"/>
        <w:ind w:firstLine="397"/>
        <w:jc w:val="both"/>
      </w:pPr>
      <w:r>
        <w:rPr>
          <w:rFonts w:ascii="Arial" w:cs="Arial" w:eastAsia="Arial" w:hAnsi="Arial"/>
          <w:sz w:val="24"/>
          <w:szCs w:val="24"/>
        </w:rPr>
        <w:t xml:space="preserve">5) нарушение требований по идентификации продукции;</w:t>
      </w:r>
    </w:p>
    <w:p>
      <w:pPr>
        <w:spacing w:after="120"/>
        <w:ind w:firstLine="397"/>
        <w:jc w:val="both"/>
      </w:pPr>
      <w:r>
        <w:rPr>
          <w:rFonts w:ascii="Arial" w:cs="Arial" w:eastAsia="Arial" w:hAnsi="Arial"/>
          <w:sz w:val="24"/>
          <w:szCs w:val="24"/>
        </w:rPr>
        <w:t xml:space="preserve">6) нарушение требований к отбору образцов (проб) продукции;</w:t>
      </w:r>
    </w:p>
    <w:p>
      <w:pPr>
        <w:spacing w:after="120"/>
        <w:ind w:firstLine="397"/>
        <w:jc w:val="both"/>
      </w:pPr>
      <w:r>
        <w:rPr>
          <w:rFonts w:ascii="Arial" w:cs="Arial" w:eastAsia="Arial" w:hAnsi="Arial"/>
          <w:sz w:val="24"/>
          <w:szCs w:val="24"/>
        </w:rPr>
        <w:t xml:space="preserve">7) нарушение требований к формированию программы исследований (испытаний) и измерений продукции;</w:t>
      </w:r>
    </w:p>
    <w:p>
      <w:pPr>
        <w:spacing w:after="120"/>
        <w:ind w:firstLine="397"/>
        <w:jc w:val="both"/>
      </w:pPr>
      <w:r>
        <w:rPr>
          <w:rFonts w:ascii="Arial" w:cs="Arial" w:eastAsia="Arial" w:hAnsi="Arial"/>
          <w:sz w:val="24"/>
          <w:szCs w:val="24"/>
        </w:rPr>
        <w:t xml:space="preserve">8) нарушение требований к проведению исследований (испытаний) и измерений продукции;</w:t>
      </w:r>
    </w:p>
    <w:p>
      <w:pPr>
        <w:spacing w:after="120"/>
        <w:ind w:firstLine="397"/>
        <w:jc w:val="both"/>
      </w:pPr>
      <w:r>
        <w:rPr>
          <w:rFonts w:ascii="Arial" w:cs="Arial" w:eastAsia="Arial" w:hAnsi="Arial"/>
          <w:sz w:val="24"/>
          <w:szCs w:val="24"/>
        </w:rPr>
        <w:t xml:space="preserve">9) недостоверность сведений и документов, послуживших основанием для подтверждения соответствия продукции обязательным требованиям;</w:t>
      </w:r>
    </w:p>
    <w:p>
      <w:pPr>
        <w:spacing w:after="120"/>
        <w:ind w:firstLine="397"/>
        <w:jc w:val="both"/>
      </w:pPr>
      <w:r>
        <w:rPr>
          <w:rFonts w:ascii="Arial" w:cs="Arial" w:eastAsia="Arial" w:hAnsi="Arial"/>
          <w:sz w:val="24"/>
          <w:szCs w:val="24"/>
        </w:rPr>
        <w:t xml:space="preserve">10) непредставление заявителем, предъявившим документ об оценке соответствия, по требованию органа государственного контроля (надзора) протоколов испытаний (исследований, измерений), на основании которых принят указанный документ, либо отсутствие информации, подтверждающей выдачу таких протоколов испытательной лабораторией.</w:t>
      </w:r>
    </w:p>
    <w:p>
      <w:pPr>
        <w:spacing w:after="120"/>
        <w:ind w:firstLine="397"/>
        <w:jc w:val="both"/>
      </w:pPr>
      <w:r>
        <w:rPr>
          <w:rFonts w:ascii="Arial" w:cs="Arial" w:eastAsia="Arial" w:hAnsi="Arial"/>
          <w:i/>
          <w:iCs/>
          <w:sz w:val="24"/>
          <w:szCs w:val="24"/>
        </w:rPr>
        <w:t xml:space="preserve">(В редакции </w:t>
      </w:r>
      <w:hyperlink w:history="1" r:id="rId6mmujjbuzqwqxe7c-jif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24 августа 2026 года № 570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 В случае принятия заявителем решения о прекращении действия декларации о соответствии заявитель представляет в уполномоченный орган</w:t>
      </w:r>
      <w:r>
        <w:rPr>
          <w:rFonts w:ascii="Arial" w:cs="Arial" w:eastAsia="Arial" w:hAnsi="Arial"/>
          <w:sz w:val="24"/>
          <w:szCs w:val="24"/>
        </w:rPr>
        <w:t xml:space="preserve">, уполномоченный аккредитованный орган по сертификации</w:t>
      </w:r>
      <w:r>
        <w:rPr>
          <w:rFonts w:ascii="Arial" w:cs="Arial" w:eastAsia="Arial" w:hAnsi="Arial"/>
          <w:sz w:val="24"/>
          <w:szCs w:val="24"/>
        </w:rPr>
        <w:t xml:space="preserve"> или аккредитованный орган по сертификации продукции строительного назначения или технических средств связи уведомление о прекращении действия декларации о соответствии по решению заявителя.</w:t>
      </w:r>
    </w:p>
    <w:p>
      <w:pPr>
        <w:spacing w:after="120"/>
        <w:ind w:firstLine="397"/>
        <w:jc w:val="both"/>
      </w:pPr>
      <w:r>
        <w:rPr>
          <w:rFonts w:ascii="Arial" w:cs="Arial" w:eastAsia="Arial" w:hAnsi="Arial"/>
          <w:sz w:val="24"/>
          <w:szCs w:val="24"/>
        </w:rPr>
        <w:t xml:space="preserve">Указанное уведомление должно быть заверено печатью и подписью заявителя и содержать сведения о регистрационном номере, дате регистрации декларации о соответствии и причине прекращения действия декларации о соответствии.</w:t>
      </w:r>
    </w:p>
    <w:p>
      <w:pPr>
        <w:spacing w:after="120"/>
        <w:ind w:firstLine="39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8cbwgxmv9ynpg2tdn0kli">
        <w:r>
          <w:rPr>
            <w:rFonts w:ascii="Arial" w:cs="Arial" w:eastAsia="Arial" w:hAnsi="Arial"/>
            <w:i/>
            <w:iCs/>
            <w:color w:val="1D4ED8"/>
            <w:sz w:val="24"/>
            <w:szCs w:val="24"/>
            <w:u w:val="single"/>
          </w:rPr>
          <w:t xml:space="preserve">28 февраля 2024 года № 88</w:t>
        </w:r>
      </w:hyperlink>
      <w:r>
        <w:rPr>
          <w:rFonts w:ascii="Arial" w:cs="Arial" w:eastAsia="Arial" w:hAnsi="Arial"/>
          <w:sz w:val="24"/>
          <w:szCs w:val="24"/>
        </w:rPr>
        <w:t xml:space="preserve">, </w:t>
      </w:r>
      <w:hyperlink w:history="1" r:id="rIdbxxy-3q6e9xfc-foqi2k9">
        <w:r>
          <w:rPr>
            <w:rFonts w:ascii="Arial" w:cs="Arial" w:eastAsia="Arial" w:hAnsi="Arial"/>
            <w:i/>
            <w:iCs/>
            <w:color w:val="1D4ED8"/>
            <w:sz w:val="24"/>
            <w:szCs w:val="24"/>
            <w:u w:val="single"/>
          </w:rPr>
          <w:t xml:space="preserve">29 июня 2026 года № 445</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20. Информация о выдаче заявителю органом государственного контроля (надзора) предписания о приостановлении, прекращении действия декларации о соответствии, принятии решения о прекращении (возобновлении) действия декларации о соответствии, действие которой было приостановлено по предписанию этого органа, либо решения о признании декларации о соответствии недействительной направляется в уполномоченный орган по техническому регулированию, ответственный за формирование и ведение национальной части Единого реестра.</w:t>
      </w:r>
    </w:p>
    <w:p>
      <w:pPr>
        <w:spacing w:after="120"/>
        <w:ind w:firstLine="397"/>
        <w:jc w:val="both"/>
      </w:pPr>
      <w:r>
        <w:rPr>
          <w:rFonts w:ascii="Arial" w:cs="Arial" w:eastAsia="Arial" w:hAnsi="Arial"/>
          <w:sz w:val="24"/>
          <w:szCs w:val="24"/>
        </w:rPr>
        <w:t xml:space="preserve">21. Уполномоченный орган по техническому регулированию, ответственный за формирование и ведение национальной части Единого реестра, в течение 3 рабочих дней со дня получения информации, указанной в </w:t>
      </w:r>
      <w:hyperlink w:history="1" r:id="rIdcl7bdouhxgwxsg9ies1ar">
        <w:r>
          <w:rPr>
            <w:rFonts w:ascii="Arial" w:cs="Arial" w:eastAsia="Arial" w:hAnsi="Arial"/>
            <w:color w:val="1D4ED8"/>
            <w:sz w:val="24"/>
            <w:szCs w:val="24"/>
            <w:u w:val="single"/>
          </w:rPr>
          <w:t xml:space="preserve">пункте 20</w:t>
        </w:r>
      </w:hyperlink>
      <w:r>
        <w:rPr>
          <w:rFonts w:ascii="Arial" w:cs="Arial" w:eastAsia="Arial" w:hAnsi="Arial"/>
          <w:sz w:val="24"/>
          <w:szCs w:val="24"/>
        </w:rPr>
        <w:t xml:space="preserve"> настоящего Положения, осуществляет внесение в Единый реестр сведений о дате и регистрационном номере предписания (решения).</w:t>
      </w:r>
    </w:p>
    <w:p>
      <w:pPr>
        <w:spacing w:after="120"/>
        <w:ind w:firstLine="397"/>
        <w:jc w:val="both"/>
      </w:pPr>
      <w:r>
        <w:rPr>
          <w:rFonts w:ascii="Arial" w:cs="Arial" w:eastAsia="Arial" w:hAnsi="Arial"/>
          <w:sz w:val="24"/>
          <w:szCs w:val="24"/>
        </w:rPr>
        <w:t xml:space="preserve">22. Действие декларации о соответствии считается приостановленным, возобновленным или прекращенным с даты внесения в Единый реестр соответствующих сведений.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icdxsrmtfi11rrtvrfjw" Type="http://schemas.openxmlformats.org/officeDocument/2006/relationships/hyperlink" Target="http://kodeks.duckdns.org/document/230048169" TargetMode="External"/><Relationship Id="rId5lhps9htaqjw_1zx6wdwh" Type="http://schemas.openxmlformats.org/officeDocument/2006/relationships/hyperlink" Target="http://kodeks.duckdns.org/document/12908" TargetMode="External"/><Relationship Id="rId-qbcuwlm_vigm4clrillj" Type="http://schemas.openxmlformats.org/officeDocument/2006/relationships/hyperlink" Target="http://kodeks.duckdns.org/document/159563" TargetMode="External"/><Relationship Id="rIdic2mwlcgzbjslcyqpjcwp" Type="http://schemas.openxmlformats.org/officeDocument/2006/relationships/hyperlink" Target="http://kodeks.duckdns.org/document/230010921" TargetMode="External"/><Relationship Id="rIdqegwpk3e1xmogztanymgv" Type="http://schemas.openxmlformats.org/officeDocument/2006/relationships/hyperlink" Target="http://kodeks.duckdns.org/document/230048169" TargetMode="External"/><Relationship Id="rIdxlcnvdjawyvznczetwljo" Type="http://schemas.openxmlformats.org/officeDocument/2006/relationships/hyperlink" Target="http://kodeks.duckdns.org/document/230050232" TargetMode="External"/><Relationship Id="rIdqpmm2iasc_eub17bcnsec" Type="http://schemas.openxmlformats.org/officeDocument/2006/relationships/hyperlink" Target="http://kodeks.duckdns.org/document/230010901#p3" TargetMode="External"/><Relationship Id="rIdxswdpvvofadcl4loyahiy" Type="http://schemas.openxmlformats.org/officeDocument/2006/relationships/hyperlink" Target="http://kodeks.duckdns.org/document/230010921" TargetMode="External"/><Relationship Id="rIdfksnrcne19cuhlplgpcgc" Type="http://schemas.openxmlformats.org/officeDocument/2006/relationships/hyperlink" Target="http://kodeks.duckdns.org/document/230048169" TargetMode="External"/><Relationship Id="rIdy6qyqgkestelnzxgr081d" Type="http://schemas.openxmlformats.org/officeDocument/2006/relationships/hyperlink" Target="http://kodeks.duckdns.org/document/230010901#pr" TargetMode="External"/><Relationship Id="rIdeosevgqaj-un6_ibyrgls" Type="http://schemas.openxmlformats.org/officeDocument/2006/relationships/hyperlink" Target="http://kodeks.duckdns.org/document/230010901#p3" TargetMode="External"/><Relationship Id="rIdv_kjy8uly3p3rcenyldkd" Type="http://schemas.openxmlformats.org/officeDocument/2006/relationships/hyperlink" Target="http://kodeks.duckdns.org/document/230010921" TargetMode="External"/><Relationship Id="rIdntgbnsmk5zxia_qq047g-" Type="http://schemas.openxmlformats.org/officeDocument/2006/relationships/hyperlink" Target="http://kodeks.duckdns.org/document/230048169" TargetMode="External"/><Relationship Id="rId8savmtpov62ltovz_7anq" Type="http://schemas.openxmlformats.org/officeDocument/2006/relationships/hyperlink" Target="http://kodeks.duckdns.org/document/230010901#p4" TargetMode="External"/><Relationship Id="rIdyev1ci8464v35w4elbj1h" Type="http://schemas.openxmlformats.org/officeDocument/2006/relationships/hyperlink" Target="http://kodeks.duckdns.org/document/230010921" TargetMode="External"/><Relationship Id="rIdy1oojz0tm5hpop6c1okt3" Type="http://schemas.openxmlformats.org/officeDocument/2006/relationships/hyperlink" Target="http://kodeks.duckdns.org/document/230048169" TargetMode="External"/><Relationship Id="rIdxsnroqrvfnej-ygodfssu" Type="http://schemas.openxmlformats.org/officeDocument/2006/relationships/hyperlink" Target="http://kodeks.duckdns.org/document/230010901#p3" TargetMode="External"/><Relationship Id="rIdqzox_pqbntd56rz51zhdj" Type="http://schemas.openxmlformats.org/officeDocument/2006/relationships/hyperlink" Target="http://kodeks.duckdns.org/document/230010901#p3" TargetMode="External"/><Relationship Id="rIdua4xbndlaydi-tjcejo6m" Type="http://schemas.openxmlformats.org/officeDocument/2006/relationships/hyperlink" Target="http://kodeks.duckdns.org/document/230010921" TargetMode="External"/><Relationship Id="rIdkffe4f8qx0flxzpryhd0e" Type="http://schemas.openxmlformats.org/officeDocument/2006/relationships/hyperlink" Target="http://kodeks.duckdns.org/document/230048169" TargetMode="External"/><Relationship Id="rIdi2wc3qksu8kvxcdblu71u" Type="http://schemas.openxmlformats.org/officeDocument/2006/relationships/hyperlink" Target="http://kodeks.duckdns.org/document/230010901#p3" TargetMode="External"/><Relationship Id="rIdm4t2ags49ep4yqbnag74l" Type="http://schemas.openxmlformats.org/officeDocument/2006/relationships/hyperlink" Target="http://kodeks.duckdns.org/document/230010901#p3" TargetMode="External"/><Relationship Id="rIdzk0ecnqjxptbskry2vwjb" Type="http://schemas.openxmlformats.org/officeDocument/2006/relationships/hyperlink" Target="http://kodeks.duckdns.org/document/230010901#p3" TargetMode="External"/><Relationship Id="rId8oz4hm8ihdi1bohssestj" Type="http://schemas.openxmlformats.org/officeDocument/2006/relationships/hyperlink" Target="http://kodeks.duckdns.org/document/230010921" TargetMode="External"/><Relationship Id="rIdaoe8dpdypq2edo3rs8co-" Type="http://schemas.openxmlformats.org/officeDocument/2006/relationships/hyperlink" Target="http://kodeks.duckdns.org/document/230048169" TargetMode="External"/><Relationship Id="rIdwlsrw-suisir8qxmyogzx" Type="http://schemas.openxmlformats.org/officeDocument/2006/relationships/hyperlink" Target="http://kodeks.duckdns.org/document/230010901#p3" TargetMode="External"/><Relationship Id="rIdljjlh8u_co4exr8vehs5k" Type="http://schemas.openxmlformats.org/officeDocument/2006/relationships/hyperlink" Target="http://kodeks.duckdns.org/document/230010921" TargetMode="External"/><Relationship Id="rIdy9oxbfhjskpfw-x6ommhh" Type="http://schemas.openxmlformats.org/officeDocument/2006/relationships/hyperlink" Target="http://kodeks.duckdns.org/document/230048169" TargetMode="External"/><Relationship Id="rIdhmnfwk1x5gby6_l4bx98r" Type="http://schemas.openxmlformats.org/officeDocument/2006/relationships/hyperlink" Target="http://kodeks.duckdns.org/document/230010921" TargetMode="External"/><Relationship Id="rIdyo59ivzmmtymd40k5qgvj" Type="http://schemas.openxmlformats.org/officeDocument/2006/relationships/hyperlink" Target="http://kodeks.duckdns.org/document/230048169" TargetMode="External"/><Relationship Id="rIdubk6abbablev97akoyezn" Type="http://schemas.openxmlformats.org/officeDocument/2006/relationships/hyperlink" Target="http://kodeks.duckdns.org/document/230010921" TargetMode="External"/><Relationship Id="rId7tccamqlm6lrk5tc-ec2d" Type="http://schemas.openxmlformats.org/officeDocument/2006/relationships/hyperlink" Target="http://kodeks.duckdns.org/document/230048169" TargetMode="External"/><Relationship Id="rIdpuqc7evm-to_460qzs32v" Type="http://schemas.openxmlformats.org/officeDocument/2006/relationships/hyperlink" Target="http://kodeks.duckdns.org/document/1453" TargetMode="External"/><Relationship Id="rId6mmujjbuzqwqxe7c-jif9" Type="http://schemas.openxmlformats.org/officeDocument/2006/relationships/hyperlink" Target="http://kodeks.duckdns.org/document/230050232" TargetMode="External"/><Relationship Id="rId8cbwgxmv9ynpg2tdn0kli" Type="http://schemas.openxmlformats.org/officeDocument/2006/relationships/hyperlink" Target="http://kodeks.duckdns.org/document/230010921" TargetMode="External"/><Relationship Id="rIdbxxy-3q6e9xfc-foqi2k9" Type="http://schemas.openxmlformats.org/officeDocument/2006/relationships/hyperlink" Target="http://kodeks.duckdns.org/document/230048169" TargetMode="External"/><Relationship Id="rIdcl7bdouhxgwxsg9ies1ar" Type="http://schemas.openxmlformats.org/officeDocument/2006/relationships/hyperlink" Target="http://kodeks.duckdns.org/document/230010901#p20" TargetMode="External"/><Relationship Id="rId7" Type="http://schemas.openxmlformats.org/officeDocument/2006/relationships/image" Target="media/93bec1c1538034512fe33c1434ae0ea86b639d33.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2026-09-22T22:24:43.348Z</dcterms:created>
  <dcterms:modified xsi:type="dcterms:W3CDTF">2026-09-22T22:24:43.348Z</dcterms:modified>
</cp:coreProperties>
</file>

<file path=docProps/custom.xml><?xml version="1.0" encoding="utf-8"?>
<Properties xmlns="http://schemas.openxmlformats.org/officeDocument/2006/custom-properties" xmlns:vt="http://schemas.openxmlformats.org/officeDocument/2006/docPropsVTypes"/>
</file>