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февраля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88</w:t>
      </w:r>
    </w:p>
    <w:p>
      <w:pPr>
        <w:spacing w:after="480" w:before="200"/>
        <w:jc w:val="center"/>
      </w:pPr>
      <w:r>
        <w:rPr>
          <w:rFonts w:ascii="Arial" w:cs="Arial" w:eastAsia="Arial" w:hAnsi="Arial"/>
          <w:b/>
          <w:bCs/>
          <w:sz w:val="28"/>
          <w:szCs w:val="28"/>
        </w:rPr>
        <w:t xml:space="preserve">О внесении изменений в некоторые постановления Правительства Кыргызской Республики в сфере подтверждения соответствия продукции и аккредитации органов по оценке соответствия</w:t>
      </w:r>
    </w:p>
    <w:p>
      <w:pPr>
        <w:spacing w:after="120"/>
        <w:ind w:firstLine="397"/>
        <w:jc w:val="both"/>
      </w:pPr>
      <w:r>
        <w:rPr>
          <w:rFonts w:ascii="Arial" w:cs="Arial" w:eastAsia="Arial" w:hAnsi="Arial"/>
          <w:sz w:val="24"/>
          <w:szCs w:val="24"/>
        </w:rPr>
        <w:t xml:space="preserve">В целях дальнейшего принятия мер по гармонизации национального законодательства с нормативной правовой базой Евразийской экономической комиссии, в соответствии со статьями </w:t>
      </w:r>
      <w:hyperlink w:history="1" r:id="rIdk46a26dsmsyirkmnz6e7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gpds8mpyzfkemnc-flx2">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tgbqklvq9s1xmwq8g65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 следующие изменения:</w:t>
      </w:r>
    </w:p>
    <w:p>
      <w:pPr>
        <w:spacing w:after="120"/>
        <w:ind w:firstLine="397"/>
        <w:jc w:val="both"/>
      </w:pPr>
      <w:r>
        <w:rPr>
          <w:rFonts w:ascii="Arial" w:cs="Arial" w:eastAsia="Arial" w:hAnsi="Arial"/>
          <w:sz w:val="24"/>
          <w:szCs w:val="24"/>
        </w:rPr>
        <w:t xml:space="preserve">- </w:t>
      </w:r>
      <w:hyperlink w:history="1" r:id="rIdsn5tizplw6ri_vibdvaxj">
        <w:r>
          <w:rPr>
            <w:rFonts w:ascii="Arial" w:cs="Arial" w:eastAsia="Arial" w:hAnsi="Arial"/>
            <w:color w:val="1D4ED8"/>
            <w:sz w:val="24"/>
            <w:szCs w:val="24"/>
            <w:u w:val="single"/>
          </w:rPr>
          <w:t xml:space="preserve">пункт 6</w:t>
        </w:r>
      </w:hyperlink>
      <w:r>
        <w:rPr>
          <w:rFonts w:ascii="Arial" w:cs="Arial" w:eastAsia="Arial" w:hAnsi="Arial"/>
          <w:sz w:val="24"/>
          <w:szCs w:val="24"/>
        </w:rPr>
        <w:t xml:space="preserve"> дополнить абзацем следующего содержания:</w:t>
      </w:r>
    </w:p>
    <w:p>
      <w:pPr>
        <w:spacing w:after="120"/>
        <w:ind w:firstLine="397"/>
        <w:jc w:val="both"/>
      </w:pPr>
      <w:r>
        <w:rPr>
          <w:rFonts w:ascii="Arial" w:cs="Arial" w:eastAsia="Arial" w:hAnsi="Arial"/>
          <w:sz w:val="24"/>
          <w:szCs w:val="24"/>
        </w:rPr>
        <w:t xml:space="preserve">«- </w:t>
      </w:r>
      <w:hyperlink w:history="1" r:id="rIdzrdxcbzbna5q1wk9vlpc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основаниях принятия национальным органом по аккредитации решений о включении/исключении аккредитованных органов по оценке соответствия в национальную часть единого реестра органов по оценке соответствия Евразийского экономического союза.»;</w:t>
      </w:r>
    </w:p>
    <w:p>
      <w:pPr>
        <w:spacing w:after="120"/>
        <w:ind w:firstLine="397"/>
        <w:jc w:val="both"/>
      </w:pPr>
      <w:r>
        <w:rPr>
          <w:rFonts w:ascii="Arial" w:cs="Arial" w:eastAsia="Arial" w:hAnsi="Arial"/>
          <w:sz w:val="24"/>
          <w:szCs w:val="24"/>
        </w:rPr>
        <w:t xml:space="preserve">- дополнить </w:t>
      </w:r>
      <w:hyperlink w:history="1" r:id="rIdeoxeayohfkurlzaygvtdu">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в редакции согласно </w:t>
      </w:r>
      <w:hyperlink w:history="1" r:id="rId6gq4y2zpz0nbhthpkxld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w:t>
      </w:r>
      <w:hyperlink w:history="1" r:id="rIdifzi4hh04n99stiyl9o2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Внести в </w:t>
      </w:r>
      <w:hyperlink w:history="1" r:id="rIdsyrzqxrgl9vmwrfgbdj_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 следующие изменения:</w:t>
      </w:r>
    </w:p>
    <w:p>
      <w:pPr>
        <w:spacing w:after="120"/>
        <w:ind w:firstLine="397"/>
        <w:jc w:val="both"/>
      </w:pPr>
      <w:r>
        <w:rPr>
          <w:rFonts w:ascii="Arial" w:cs="Arial" w:eastAsia="Arial" w:hAnsi="Arial"/>
          <w:sz w:val="24"/>
          <w:szCs w:val="24"/>
        </w:rPr>
        <w:t xml:space="preserve">1) </w:t>
      </w:r>
      <w:hyperlink w:history="1" r:id="rIdxcszwf9mi4fgg_8kfl4-w">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 Установить, что регистрация деклараций о соответствии требованиям технических регламентов Евразийского экономического союза (Таможенного союза) единой формы осуществляется уполномоченными органами в пределах компетенции.»;</w:t>
      </w:r>
    </w:p>
    <w:p>
      <w:pPr>
        <w:spacing w:after="120"/>
        <w:ind w:firstLine="397"/>
        <w:jc w:val="both"/>
      </w:pPr>
      <w:r>
        <w:rPr>
          <w:rFonts w:ascii="Arial" w:cs="Arial" w:eastAsia="Arial" w:hAnsi="Arial"/>
          <w:sz w:val="24"/>
          <w:szCs w:val="24"/>
        </w:rPr>
        <w:t xml:space="preserve">2) дополнить пунктами </w:t>
      </w:r>
      <w:hyperlink w:history="1" r:id="rIduef19egwg1y7r3vfwkywa">
        <w:r>
          <w:rPr>
            <w:rFonts w:ascii="Arial" w:cs="Arial" w:eastAsia="Arial" w:hAnsi="Arial"/>
            <w:color w:val="1D4ED8"/>
            <w:sz w:val="24"/>
            <w:szCs w:val="24"/>
            <w:u w:val="single"/>
          </w:rPr>
          <w:t xml:space="preserve">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wtwtjliiw8uztq3muxbqj">
        <w:r>
          <w:rPr>
            <w:rFonts w:ascii="Arial" w:cs="Arial" w:eastAsia="Arial" w:hAnsi="Arial"/>
            <w:color w:val="1D4ED8"/>
            <w:sz w:val="24"/>
            <w:szCs w:val="24"/>
            <w:u w:val="single"/>
          </w:rPr>
          <w:t xml:space="preserve">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Установить, что регистрацию деклараций о соответствии продукции дорожно-строительного назначения, строительных материалов, изделий и конструкций требованиям технических регламентов Евразийского экономического союза (Таможенного союза) единой формы осуществляется аккредитованными органами по сертификации, включенными в Единый реестр органов по оценке соответствия Евразийского экономического союза, область аккредитации которых распространяется на декларируемую продукцию.</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Установить, что регистрацию деклараций о соответствии технических средств связи требованиям технических регламентов Евразийского экономического союза (Таможенного союза) единой формы осуществляет аккредитованный государственный орган по сертификации, включенный в Единый реестр органов по оценке соответствия Евразийского экономического союза, в соответствии с областью аккредитации.»;</w:t>
      </w:r>
    </w:p>
    <w:p>
      <w:pPr>
        <w:spacing w:after="120"/>
        <w:ind w:firstLine="397"/>
        <w:jc w:val="both"/>
      </w:pPr>
      <w:r>
        <w:rPr>
          <w:rFonts w:ascii="Arial" w:cs="Arial" w:eastAsia="Arial" w:hAnsi="Arial"/>
          <w:sz w:val="24"/>
          <w:szCs w:val="24"/>
        </w:rPr>
        <w:t xml:space="preserve">3) в </w:t>
      </w:r>
      <w:hyperlink w:history="1" r:id="rIdrpzdj4zeioerbfznjv8zt">
        <w:r>
          <w:rPr>
            <w:rFonts w:ascii="Arial" w:cs="Arial" w:eastAsia="Arial" w:hAnsi="Arial"/>
            <w:color w:val="1D4ED8"/>
            <w:sz w:val="24"/>
            <w:szCs w:val="24"/>
            <w:u w:val="single"/>
          </w:rPr>
          <w:t xml:space="preserve">пункте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«8. Уполномоченному органу, аккредитованным органам по сертификации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 подпункт 1 изложить в следующей редакции:</w:t>
      </w:r>
    </w:p>
    <w:p>
      <w:pPr>
        <w:spacing w:after="120"/>
        <w:ind w:firstLine="397"/>
        <w:jc w:val="both"/>
      </w:pPr>
      <w:r>
        <w:rPr>
          <w:rFonts w:ascii="Arial" w:cs="Arial" w:eastAsia="Arial" w:hAnsi="Arial"/>
          <w:sz w:val="24"/>
          <w:szCs w:val="24"/>
        </w:rPr>
        <w:t xml:space="preserve">«1) осуществлять регистрацию деклараций о соответствии требованиям технических регламентов Евразийского экономического союза (Таможенного союза) единой формы согласно настоящему Положению в пределах своей компетенции;»;</w:t>
      </w:r>
    </w:p>
    <w:p>
      <w:pPr>
        <w:spacing w:after="120"/>
        <w:ind w:firstLine="397"/>
        <w:jc w:val="both"/>
      </w:pPr>
      <w:r>
        <w:rPr>
          <w:rFonts w:ascii="Arial" w:cs="Arial" w:eastAsia="Arial" w:hAnsi="Arial"/>
          <w:sz w:val="24"/>
          <w:szCs w:val="24"/>
        </w:rPr>
        <w:t xml:space="preserve">4) в </w:t>
      </w:r>
      <w:hyperlink w:history="1" r:id="rIdexycaxwqznjrtoo-dkop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принятия декларации о соответствии требованиям технических регламентов Евразийского экономического союза (Таможенного союза) единой формы, утвержденном вышеуказанным </w:t>
      </w:r>
      <w:hyperlink w:history="1" r:id="rIdsegck3sw1bda6lnhyov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4dvbs1v4iwchfjcqkpnud">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Для регистрации декларации о соответствии заявитель, в зависимости от вида продукции, представляет в уполномоченный орган или аккредитованные органы по сертификации продукции строительного назначения или технических средств связи декларацию о соответствии и прилагаемые к ней документы и сведения, предусмотренные </w:t>
      </w:r>
      <w:hyperlink w:history="1" r:id="rIdgnqim2phfmmnih3mzf5ex">
        <w:r>
          <w:rPr>
            <w:rFonts w:ascii="Arial" w:cs="Arial" w:eastAsia="Arial" w:hAnsi="Arial"/>
            <w:color w:val="1D4ED8"/>
            <w:sz w:val="24"/>
            <w:szCs w:val="24"/>
            <w:u w:val="single"/>
          </w:rPr>
          <w:t xml:space="preserve">пунктом 3</w:t>
        </w:r>
      </w:hyperlink>
      <w:r>
        <w:rPr>
          <w:rFonts w:ascii="Arial" w:cs="Arial" w:eastAsia="Arial" w:hAnsi="Arial"/>
          <w:sz w:val="24"/>
          <w:szCs w:val="24"/>
        </w:rPr>
        <w:t xml:space="preserve"> настоящего Положения, в виде документов на бумажном носителе, лично, заказным почтовым отправлением с описью вложения и уведомлением о вручении либо в виде электронных документов с использованием информационно-телекоммуникационной сети Интернет.»;</w:t>
      </w:r>
    </w:p>
    <w:p>
      <w:pPr>
        <w:spacing w:after="120"/>
        <w:ind w:firstLine="397"/>
        <w:jc w:val="both"/>
      </w:pPr>
      <w:r>
        <w:rPr>
          <w:rFonts w:ascii="Arial" w:cs="Arial" w:eastAsia="Arial" w:hAnsi="Arial"/>
          <w:sz w:val="24"/>
          <w:szCs w:val="24"/>
        </w:rPr>
        <w:t xml:space="preserve">- в абзаце первом </w:t>
      </w:r>
      <w:hyperlink w:history="1" r:id="rId-_0jjiyvxpgbdja-arpz2">
        <w:r>
          <w:rPr>
            <w:rFonts w:ascii="Arial" w:cs="Arial" w:eastAsia="Arial" w:hAnsi="Arial"/>
            <w:color w:val="1D4ED8"/>
            <w:sz w:val="24"/>
            <w:szCs w:val="24"/>
            <w:u w:val="single"/>
          </w:rPr>
          <w:t xml:space="preserve">пункта 4</w:t>
        </w:r>
      </w:hyperlink>
      <w:r>
        <w:rPr>
          <w:rFonts w:ascii="Arial" w:cs="Arial" w:eastAsia="Arial" w:hAnsi="Arial"/>
          <w:sz w:val="24"/>
          <w:szCs w:val="24"/>
        </w:rPr>
        <w:t xml:space="preserve">, </w:t>
      </w:r>
      <w:hyperlink w:history="1" r:id="rIdaqnuyec8ucfoo1zo62yhz">
        <w:r>
          <w:rPr>
            <w:rFonts w:ascii="Arial" w:cs="Arial" w:eastAsia="Arial" w:hAnsi="Arial"/>
            <w:color w:val="1D4ED8"/>
            <w:sz w:val="24"/>
            <w:szCs w:val="24"/>
            <w:u w:val="single"/>
          </w:rPr>
          <w:t xml:space="preserve">пункте 5</w:t>
        </w:r>
      </w:hyperlink>
      <w:r>
        <w:rPr>
          <w:rFonts w:ascii="Arial" w:cs="Arial" w:eastAsia="Arial" w:hAnsi="Arial"/>
          <w:sz w:val="24"/>
          <w:szCs w:val="24"/>
        </w:rPr>
        <w:t xml:space="preserve"> слова «Уполномоченный орган или аккредитованный орган по сертификации», «уполномоченный орган или аккредитованный орган по сертификации» заменить соответственно словами «Уполномоченный орган или аккредитованный орган по сертификации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 в абзаце втором </w:t>
      </w:r>
      <w:hyperlink w:history="1" r:id="rId5m5y1euj4xlx9jajuskmj">
        <w:r>
          <w:rPr>
            <w:rFonts w:ascii="Arial" w:cs="Arial" w:eastAsia="Arial" w:hAnsi="Arial"/>
            <w:color w:val="1D4ED8"/>
            <w:sz w:val="24"/>
            <w:szCs w:val="24"/>
            <w:u w:val="single"/>
          </w:rPr>
          <w:t xml:space="preserve">пункта 9</w:t>
        </w:r>
      </w:hyperlink>
      <w:r>
        <w:rPr>
          <w:rFonts w:ascii="Arial" w:cs="Arial" w:eastAsia="Arial" w:hAnsi="Arial"/>
          <w:sz w:val="24"/>
          <w:szCs w:val="24"/>
        </w:rPr>
        <w:t xml:space="preserve"> слово «продукции» заменить словами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 в абзаце первом </w:t>
      </w:r>
      <w:hyperlink w:history="1" r:id="rIdutbrpd-gn2-0hwiqyl7fn">
        <w:r>
          <w:rPr>
            <w:rFonts w:ascii="Arial" w:cs="Arial" w:eastAsia="Arial" w:hAnsi="Arial"/>
            <w:color w:val="1D4ED8"/>
            <w:sz w:val="24"/>
            <w:szCs w:val="24"/>
            <w:u w:val="single"/>
          </w:rPr>
          <w:t xml:space="preserve">пункта 12</w:t>
        </w:r>
      </w:hyperlink>
      <w:r>
        <w:rPr>
          <w:rFonts w:ascii="Arial" w:cs="Arial" w:eastAsia="Arial" w:hAnsi="Arial"/>
          <w:sz w:val="24"/>
          <w:szCs w:val="24"/>
        </w:rPr>
        <w:t xml:space="preserve"> слово «сертификации» заменить словами «сертификации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 в пунктах </w:t>
      </w:r>
      <w:hyperlink w:history="1" r:id="rIdxr_p2igzc5goj9tektqn4">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cyh__ajbxv4xcx9tgajt5">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wqt4k0fvlqtbxuoi0p1e5">
        <w:r>
          <w:rPr>
            <w:rFonts w:ascii="Arial" w:cs="Arial" w:eastAsia="Arial" w:hAnsi="Arial"/>
            <w:color w:val="1D4ED8"/>
            <w:sz w:val="24"/>
            <w:szCs w:val="24"/>
            <w:u w:val="single"/>
          </w:rPr>
          <w:t xml:space="preserve">17</w:t>
        </w:r>
      </w:hyperlink>
      <w:r>
        <w:rPr>
          <w:rFonts w:ascii="Arial" w:cs="Arial" w:eastAsia="Arial" w:hAnsi="Arial"/>
          <w:sz w:val="24"/>
          <w:szCs w:val="24"/>
        </w:rPr>
        <w:t xml:space="preserve">, абзаце первом </w:t>
      </w:r>
      <w:hyperlink w:history="1" r:id="rIdrffhiojayxellpl3evyuo">
        <w:r>
          <w:rPr>
            <w:rFonts w:ascii="Arial" w:cs="Arial" w:eastAsia="Arial" w:hAnsi="Arial"/>
            <w:color w:val="1D4ED8"/>
            <w:sz w:val="24"/>
            <w:szCs w:val="24"/>
            <w:u w:val="single"/>
          </w:rPr>
          <w:t xml:space="preserve">пункта 19</w:t>
        </w:r>
      </w:hyperlink>
      <w:r>
        <w:rPr>
          <w:rFonts w:ascii="Arial" w:cs="Arial" w:eastAsia="Arial" w:hAnsi="Arial"/>
          <w:sz w:val="24"/>
          <w:szCs w:val="24"/>
        </w:rPr>
        <w:t xml:space="preserve"> слово «сертификации» заменить словами «сертификации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2. Кыргызскому центру аккредитации при Министерстве экономики и коммерции Кыргызской Республики и Центру по стандартизации и метрологии при Министерстве экономики и коммерции Кыргызской Республики в месячный срок привести свои акты в соответствие с настоящим постановлением.</w:t>
      </w:r>
    </w:p>
    <w:p>
      <w:pPr>
        <w:spacing w:after="120"/>
        <w:ind w:firstLine="397"/>
        <w:jc w:val="both"/>
      </w:pPr>
      <w:r>
        <w:rPr>
          <w:rFonts w:ascii="Arial" w:cs="Arial" w:eastAsia="Arial" w:hAnsi="Arial"/>
          <w:sz w:val="24"/>
          <w:szCs w:val="24"/>
        </w:rPr>
        <w:t xml:space="preserve">3. Аккредитованным органам по сертификации продукции, включенным в национальную часть единого реестра органов по оценке соответствия Евразийского экономического союза, в месячный срок привести процедуры по подтверждению соответствия и области аккредитации в соответствие с настоящим постановлением.</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5 марта 2024 года № 18 (3571)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bzuhvku9ovrmtlyg--oml">
        <w:r>
          <w:rPr>
            <w:rFonts w:ascii="Arial" w:cs="Arial" w:eastAsia="Arial" w:hAnsi="Arial"/>
            <w:color w:val="1D4ED8"/>
            <w:sz w:val="24"/>
            <w:szCs w:val="24"/>
            <w:u w:val="single"/>
          </w:rPr>
          <w:t xml:space="preserve">Приложение</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и основаниях принятия национальным </w:t>
      </w:r>
    </w:p>
    <w:p>
      <w:pPr>
        <w:spacing w:after="240" w:before="200"/>
        <w:jc w:val="center"/>
      </w:pPr>
      <w:r>
        <w:rPr>
          <w:rFonts w:ascii="Arial" w:cs="Arial" w:eastAsia="Arial" w:hAnsi="Arial"/>
          <w:b/>
          <w:bCs/>
          <w:sz w:val="32"/>
          <w:szCs w:val="32"/>
        </w:rPr>
        <w:t xml:space="preserve">органом по аккредитации решений </w:t>
      </w:r>
    </w:p>
    <w:p>
      <w:pPr>
        <w:spacing w:after="240" w:before="200"/>
        <w:jc w:val="center"/>
      </w:pPr>
      <w:r>
        <w:rPr>
          <w:rFonts w:ascii="Arial" w:cs="Arial" w:eastAsia="Arial" w:hAnsi="Arial"/>
          <w:b/>
          <w:bCs/>
          <w:sz w:val="32"/>
          <w:szCs w:val="32"/>
        </w:rPr>
        <w:t xml:space="preserve">о включении/исключении аккредитованных </w:t>
      </w:r>
    </w:p>
    <w:p>
      <w:pPr>
        <w:spacing w:after="240" w:before="200"/>
        <w:jc w:val="center"/>
      </w:pPr>
      <w:r>
        <w:rPr>
          <w:rFonts w:ascii="Arial" w:cs="Arial" w:eastAsia="Arial" w:hAnsi="Arial"/>
          <w:b/>
          <w:bCs/>
          <w:sz w:val="32"/>
          <w:szCs w:val="32"/>
        </w:rPr>
        <w:t xml:space="preserve">органов по оценке соответствия в национальную </w:t>
      </w:r>
    </w:p>
    <w:p>
      <w:pPr>
        <w:spacing w:after="240" w:before="200"/>
        <w:jc w:val="center"/>
      </w:pPr>
      <w:r>
        <w:rPr>
          <w:rFonts w:ascii="Arial" w:cs="Arial" w:eastAsia="Arial" w:hAnsi="Arial"/>
          <w:b/>
          <w:bCs/>
          <w:sz w:val="32"/>
          <w:szCs w:val="32"/>
        </w:rPr>
        <w:t xml:space="preserve">часть единого реестра органов по оценке </w:t>
      </w:r>
    </w:p>
    <w:p>
      <w:pPr>
        <w:spacing w:after="240" w:before="200"/>
        <w:jc w:val="center"/>
      </w:pPr>
      <w:r>
        <w:rPr>
          <w:rFonts w:ascii="Arial" w:cs="Arial" w:eastAsia="Arial" w:hAnsi="Arial"/>
          <w:b/>
          <w:bCs/>
          <w:sz w:val="32"/>
          <w:szCs w:val="32"/>
        </w:rPr>
        <w:t xml:space="preserve">соответствия Евразийского экономического союза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устанавливает правила и основания принятия национальным органом по аккредитации решений о включении юридических лиц, аккредитованных в национальной системе аккредитации, в национальную часть Единого реестра органов по оценке соответствия Евразийского экономического союза (далее - Единый реестр) и об исключении аккредитованных органов по оценке соответствия из Единого реестра.</w:t>
      </w:r>
    </w:p>
    <w:p>
      <w:pPr>
        <w:spacing w:after="120"/>
        <w:ind w:firstLine="397"/>
        <w:jc w:val="both"/>
      </w:pPr>
      <w:r>
        <w:rPr>
          <w:rFonts w:ascii="Arial" w:cs="Arial" w:eastAsia="Arial" w:hAnsi="Arial"/>
          <w:sz w:val="24"/>
          <w:szCs w:val="24"/>
        </w:rPr>
        <w:t xml:space="preserve">2. Единый реестр состоит из национальных частей, формирование и ведение которых обеспечивают уполномоченные органы государств-членов ЕАЭС.</w:t>
      </w:r>
    </w:p>
    <w:p>
      <w:pPr>
        <w:spacing w:after="120"/>
        <w:ind w:firstLine="397"/>
        <w:jc w:val="both"/>
      </w:pPr>
      <w:r>
        <w:rPr>
          <w:rFonts w:ascii="Arial" w:cs="Arial" w:eastAsia="Arial" w:hAnsi="Arial"/>
          <w:sz w:val="24"/>
          <w:szCs w:val="24"/>
        </w:rPr>
        <w:t xml:space="preserve">Национальные части Единого реестра ЕАЭС состоят из разделов, содержащих сведения:</w:t>
      </w:r>
    </w:p>
    <w:p>
      <w:pPr>
        <w:spacing w:after="120"/>
        <w:ind w:firstLine="397"/>
        <w:jc w:val="both"/>
      </w:pPr>
      <w:r>
        <w:rPr>
          <w:rFonts w:ascii="Arial" w:cs="Arial" w:eastAsia="Arial" w:hAnsi="Arial"/>
          <w:sz w:val="24"/>
          <w:szCs w:val="24"/>
        </w:rPr>
        <w:t xml:space="preserve">- об органах по сертификации продукции;</w:t>
      </w:r>
    </w:p>
    <w:p>
      <w:pPr>
        <w:spacing w:after="120"/>
        <w:ind w:firstLine="397"/>
        <w:jc w:val="both"/>
      </w:pPr>
      <w:r>
        <w:rPr>
          <w:rFonts w:ascii="Arial" w:cs="Arial" w:eastAsia="Arial" w:hAnsi="Arial"/>
          <w:sz w:val="24"/>
          <w:szCs w:val="24"/>
        </w:rPr>
        <w:t xml:space="preserve">- об испытательных лабораториях;</w:t>
      </w:r>
    </w:p>
    <w:p>
      <w:pPr>
        <w:spacing w:after="120"/>
        <w:ind w:firstLine="397"/>
        <w:jc w:val="both"/>
      </w:pPr>
      <w:r>
        <w:rPr>
          <w:rFonts w:ascii="Arial" w:cs="Arial" w:eastAsia="Arial" w:hAnsi="Arial"/>
          <w:sz w:val="24"/>
          <w:szCs w:val="24"/>
        </w:rPr>
        <w:t xml:space="preserve">- об органах инспекции.</w:t>
      </w:r>
    </w:p>
    <w:p>
      <w:pPr>
        <w:spacing w:after="120"/>
        <w:ind w:firstLine="397"/>
        <w:jc w:val="both"/>
      </w:pPr>
      <w:r>
        <w:rPr>
          <w:rFonts w:ascii="Arial" w:cs="Arial" w:eastAsia="Arial" w:hAnsi="Arial"/>
          <w:sz w:val="24"/>
          <w:szCs w:val="24"/>
        </w:rPr>
        <w:t xml:space="preserve">3. Орган по оценке соответствия (далее - ООС), претендующий на включение в Единый реестр, должен подать заявку на включение в национальную часть Единого реестра и представить информацию в соответствии с установленной процедурой Кыргызского центра аккредитации при Министерстве экономики и коммерции Кыргызской Республики (далее - КЦА).</w:t>
      </w:r>
    </w:p>
    <w:p>
      <w:pPr>
        <w:spacing w:after="120"/>
        <w:ind w:firstLine="397"/>
        <w:jc w:val="both"/>
      </w:pPr>
      <w:r>
        <w:rPr>
          <w:rFonts w:ascii="Arial" w:cs="Arial" w:eastAsia="Arial" w:hAnsi="Arial"/>
          <w:sz w:val="24"/>
          <w:szCs w:val="24"/>
        </w:rPr>
        <w:t xml:space="preserve">4. Решение о включении аккредитованного ООС в национальную часть Единого реестра по результатам рассмотрения заявки аккредитованного ООС принимается КЦА, являющимся уполномоченным органом за формирование и ведение национальной части Единого реестра.</w:t>
      </w:r>
    </w:p>
    <w:p>
      <w:pPr>
        <w:spacing w:after="120"/>
        <w:ind w:firstLine="397"/>
        <w:jc w:val="both"/>
      </w:pPr>
      <w:r>
        <w:rPr>
          <w:rFonts w:ascii="Arial" w:cs="Arial" w:eastAsia="Arial" w:hAnsi="Arial"/>
          <w:sz w:val="24"/>
          <w:szCs w:val="24"/>
        </w:rPr>
        <w:t xml:space="preserve">5. Для принятия КЦА решения о включении аккредитованного OOC - органа по сертификации, испытательной лаборатории (центра) органа инспекции в национальную часть Единого реестра является одновременное соблюдение следующих условий:</w:t>
      </w:r>
    </w:p>
    <w:p>
      <w:pPr>
        <w:spacing w:after="120"/>
        <w:ind w:firstLine="397"/>
        <w:jc w:val="both"/>
      </w:pPr>
      <w:r>
        <w:rPr>
          <w:rFonts w:ascii="Arial" w:cs="Arial" w:eastAsia="Arial" w:hAnsi="Arial"/>
          <w:sz w:val="24"/>
          <w:szCs w:val="24"/>
        </w:rPr>
        <w:t xml:space="preserve">- установленное на дату принятия такого решения соответствие аккредитованного ООС критериям включения аккредитованных ООС в Единый реестр, предусмотренным правом Евразийского экономического союза (далее - критерии включения);</w:t>
      </w:r>
    </w:p>
    <w:p>
      <w:pPr>
        <w:spacing w:after="120"/>
        <w:ind w:firstLine="397"/>
        <w:jc w:val="both"/>
      </w:pPr>
      <w:r>
        <w:rPr>
          <w:rFonts w:ascii="Arial" w:cs="Arial" w:eastAsia="Arial" w:hAnsi="Arial"/>
          <w:sz w:val="24"/>
          <w:szCs w:val="24"/>
        </w:rPr>
        <w:t xml:space="preserve">- наличие положительного решения Комиссии по принятию решения в области аккредитации ООС о возможности работы аккредитованного ООС в области обязательной оценки (подтверждения) соответствия продукции требованиям права Евразийского экономического союза, принятого КЦА.</w:t>
      </w:r>
    </w:p>
    <w:p>
      <w:pPr>
        <w:spacing w:after="120"/>
        <w:ind w:firstLine="397"/>
        <w:jc w:val="both"/>
      </w:pPr>
      <w:r>
        <w:rPr>
          <w:rFonts w:ascii="Arial" w:cs="Arial" w:eastAsia="Arial" w:hAnsi="Arial"/>
          <w:sz w:val="24"/>
          <w:szCs w:val="24"/>
        </w:rPr>
        <w:t xml:space="preserve">6. В случае если указанная заявка подана аккредитованным ООС, в отношении которого принято решение о его отмене аккредитации, а также аккредитованным ООС, действие аттестата аккредитации которого приостановлено, такая заявка рассмотрению не подлежит, о чем КЦА уведомляет заявителя в течение 15 рабочих дней со дня поступления указанной заявки.</w:t>
      </w:r>
    </w:p>
    <w:p>
      <w:pPr>
        <w:spacing w:after="120"/>
        <w:ind w:firstLine="397"/>
        <w:jc w:val="both"/>
      </w:pPr>
      <w:r>
        <w:rPr>
          <w:rFonts w:ascii="Arial" w:cs="Arial" w:eastAsia="Arial" w:hAnsi="Arial"/>
          <w:sz w:val="24"/>
          <w:szCs w:val="24"/>
        </w:rPr>
        <w:t xml:space="preserve">Критерии включения аккредитованных ООС (в том числе органов по сертификации, испытательных лабораторий (центров) и органов инспекции в Единый реестр, правила его формирования и ведения установлены и осуществляются в соответствии с Порядком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 утвержденным решением Совета ЕЭК от 5 декабря 2018 года № 100 (далее - Порядок) и настоящим Положением.</w:t>
      </w:r>
    </w:p>
    <w:p>
      <w:pPr>
        <w:spacing w:after="120"/>
        <w:ind w:firstLine="397"/>
        <w:jc w:val="both"/>
      </w:pPr>
      <w:r>
        <w:rPr>
          <w:rFonts w:ascii="Arial" w:cs="Arial" w:eastAsia="Arial" w:hAnsi="Arial"/>
          <w:sz w:val="24"/>
          <w:szCs w:val="24"/>
        </w:rPr>
        <w:t xml:space="preserve">7. Решение КЦА о включении аккредитованного ООС в национальную часть Единого реестра или решение об отказе во включении аккредитованного ООС в национальную часть Единого реестра может быть обжаловано в досудебном порядке и (или) в судебном порядке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В течение 5 рабочих дней со дня подписания приказа КЦА о включении аккредитованного ООС в национальную часть Единого реестра сведения об аккредитованном ООС вносятся в национальную часть Единого реестра.</w:t>
      </w:r>
    </w:p>
    <w:p>
      <w:pPr>
        <w:spacing w:after="120"/>
        <w:ind w:firstLine="397"/>
        <w:jc w:val="both"/>
      </w:pPr>
      <w:r>
        <w:rPr>
          <w:rFonts w:ascii="Arial" w:cs="Arial" w:eastAsia="Arial" w:hAnsi="Arial"/>
          <w:sz w:val="24"/>
          <w:szCs w:val="24"/>
        </w:rPr>
        <w:t xml:space="preserve">9. При рассмотрении вопросов о включении аккредитованных ООС в национальную часть Единого реестра или об их исключении из него подготовку необходимых материалов для Комиссии по принятию решения в области аккредитации ООС осуществляет ответственное лицо КЦА.</w:t>
      </w:r>
    </w:p>
    <w:p>
      <w:pPr>
        <w:spacing w:after="120"/>
        <w:ind w:firstLine="397"/>
        <w:jc w:val="both"/>
      </w:pPr>
      <w:r>
        <w:rPr>
          <w:rFonts w:ascii="Arial" w:cs="Arial" w:eastAsia="Arial" w:hAnsi="Arial"/>
          <w:sz w:val="24"/>
          <w:szCs w:val="24"/>
        </w:rPr>
        <w:t xml:space="preserve">10. Исключение аккредитованного ООС из национальной части Единого реестра осуществляется по решению КЦА.</w:t>
      </w:r>
    </w:p>
    <w:p>
      <w:pPr>
        <w:spacing w:after="120"/>
        <w:ind w:firstLine="397"/>
        <w:jc w:val="both"/>
      </w:pPr>
      <w:r>
        <w:rPr>
          <w:rFonts w:ascii="Arial" w:cs="Arial" w:eastAsia="Arial" w:hAnsi="Arial"/>
          <w:sz w:val="24"/>
          <w:szCs w:val="24"/>
        </w:rPr>
        <w:t xml:space="preserve">11. Основаниями для принятия решения об исключении аккредитованного ООС из национальной части Единого реестра является наличие в КЦА фактов, подтверждающих, что аккредитованный ООС перестал соответствовать критериям включения, а именно при установлении следующих нарушений аккредитованными ООС в зависимости от направления деятельности и не ограничиваясь этим:</w:t>
      </w:r>
    </w:p>
    <w:p>
      <w:pPr>
        <w:spacing w:after="120"/>
        <w:ind w:firstLine="397"/>
        <w:jc w:val="both"/>
      </w:pPr>
      <w:r>
        <w:rPr>
          <w:rFonts w:ascii="Arial" w:cs="Arial" w:eastAsia="Arial" w:hAnsi="Arial"/>
          <w:sz w:val="24"/>
          <w:szCs w:val="24"/>
        </w:rPr>
        <w:t xml:space="preserve">- нарушение области аккредитации, включая превышение;</w:t>
      </w:r>
    </w:p>
    <w:p>
      <w:pPr>
        <w:spacing w:after="120"/>
        <w:ind w:firstLine="397"/>
        <w:jc w:val="both"/>
      </w:pPr>
      <w:r>
        <w:rPr>
          <w:rFonts w:ascii="Arial" w:cs="Arial" w:eastAsia="Arial" w:hAnsi="Arial"/>
          <w:sz w:val="24"/>
          <w:szCs w:val="24"/>
        </w:rPr>
        <w:t xml:space="preserve">- нарушение схемы сертификации;</w:t>
      </w:r>
    </w:p>
    <w:p>
      <w:pPr>
        <w:spacing w:after="120"/>
        <w:ind w:firstLine="397"/>
        <w:jc w:val="both"/>
      </w:pPr>
      <w:r>
        <w:rPr>
          <w:rFonts w:ascii="Arial" w:cs="Arial" w:eastAsia="Arial" w:hAnsi="Arial"/>
          <w:sz w:val="24"/>
          <w:szCs w:val="24"/>
        </w:rPr>
        <w:t xml:space="preserve">- нарушение требований: по идентификации продукции; к отбору образцов (проб) продукции; к персоналу; к формированию программы испытаний/исследований (измерений) и инспекции продукции; к проведению испытаний/исследований (измерений) и инспекции продукции; применения метода испытаний/исследований (измерений) и инспекции продукции.</w:t>
      </w:r>
    </w:p>
    <w:p>
      <w:pPr>
        <w:spacing w:after="120"/>
        <w:ind w:firstLine="397"/>
        <w:jc w:val="both"/>
      </w:pPr>
      <w:r>
        <w:rPr>
          <w:rFonts w:ascii="Arial" w:cs="Arial" w:eastAsia="Arial" w:hAnsi="Arial"/>
          <w:sz w:val="24"/>
          <w:szCs w:val="24"/>
        </w:rPr>
        <w:t xml:space="preserve">12. Решение КЦА об исключении аккредитованного ООС принимается на основании Комиссии по принятию решения в области аккредитации ООС, включая отрицательный результат проведения взаимных сравнительных оценок по соответствующим процедурам оценки соответствия и требованиям аккредитации, изложенным в международных стандартах:</w:t>
      </w:r>
    </w:p>
    <w:p>
      <w:pPr>
        <w:spacing w:after="120"/>
        <w:ind w:firstLine="397"/>
        <w:jc w:val="both"/>
      </w:pPr>
      <w:r>
        <w:rPr>
          <w:rFonts w:ascii="Arial" w:cs="Arial" w:eastAsia="Arial" w:hAnsi="Arial"/>
          <w:sz w:val="24"/>
          <w:szCs w:val="24"/>
        </w:rPr>
        <w:t xml:space="preserve">- поступившее в КЦА заявление аккредитованного ООС об исключении его из национальной части Единого реестра;</w:t>
      </w:r>
    </w:p>
    <w:p>
      <w:pPr>
        <w:spacing w:after="120"/>
        <w:ind w:firstLine="397"/>
        <w:jc w:val="both"/>
      </w:pPr>
      <w:r>
        <w:rPr>
          <w:rFonts w:ascii="Arial" w:cs="Arial" w:eastAsia="Arial" w:hAnsi="Arial"/>
          <w:sz w:val="24"/>
          <w:szCs w:val="24"/>
        </w:rPr>
        <w:t xml:space="preserve">- подтверждение фактов нарушений в деятельности аккредитованного ООС, включенного в Единый реестр установленных требований Порядком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 утвержденным решением Совета ЕЭК от 5 декабря 2018 года № 100 и настоящего Порядка;</w:t>
      </w:r>
    </w:p>
    <w:p>
      <w:pPr>
        <w:spacing w:after="120"/>
        <w:ind w:firstLine="397"/>
        <w:jc w:val="both"/>
      </w:pPr>
      <w:r>
        <w:rPr>
          <w:rFonts w:ascii="Arial" w:cs="Arial" w:eastAsia="Arial" w:hAnsi="Arial"/>
          <w:sz w:val="24"/>
          <w:szCs w:val="24"/>
        </w:rPr>
        <w:t xml:space="preserve">- отказ аккредитованного ООС в проведении оценки согласно установленной программе оценок КЦА, выбранной в рамках процесса взаимных сравнительных оценок его деятельности, организованных ЕЭК;</w:t>
      </w:r>
    </w:p>
    <w:p>
      <w:pPr>
        <w:spacing w:after="120"/>
        <w:ind w:firstLine="397"/>
        <w:jc w:val="both"/>
      </w:pPr>
      <w:r>
        <w:rPr>
          <w:rFonts w:ascii="Arial" w:cs="Arial" w:eastAsia="Arial" w:hAnsi="Arial"/>
          <w:sz w:val="24"/>
          <w:szCs w:val="24"/>
        </w:rPr>
        <w:t xml:space="preserve">- несвоевременное предоставление аккредитованным ООС информации в виде электронной записи сведений об аккредитованном ООС по форме Ф.КЦА-ПА1ООС.ТС установленной процедурой по аккредитации КЦА-ПА1ООС "Процедура по аккредитации ООС. Представление заявки" в соответствии с направлением деятельности ООС в программное обеспечение автоматизированной информационной системы КЦА.</w:t>
      </w:r>
    </w:p>
    <w:p>
      <w:pPr>
        <w:spacing w:after="120"/>
        <w:ind w:firstLine="397"/>
        <w:jc w:val="both"/>
      </w:pPr>
      <w:r>
        <w:rPr>
          <w:rFonts w:ascii="Arial" w:cs="Arial" w:eastAsia="Arial" w:hAnsi="Arial"/>
          <w:sz w:val="24"/>
          <w:szCs w:val="24"/>
        </w:rPr>
        <w:t xml:space="preserve">13. В случае прекращения деятельности аккредитованного ООС в национальной системе аккредитации, то ООС исключается из национальной части Единого реестра без принятия КЦА соответствующего решения.</w:t>
      </w:r>
    </w:p>
    <w:p>
      <w:pPr>
        <w:spacing w:after="120"/>
        <w:ind w:firstLine="397"/>
        <w:jc w:val="both"/>
      </w:pPr>
      <w:r>
        <w:rPr>
          <w:rFonts w:ascii="Arial" w:cs="Arial" w:eastAsia="Arial" w:hAnsi="Arial"/>
          <w:sz w:val="24"/>
          <w:szCs w:val="24"/>
        </w:rPr>
        <w:t xml:space="preserve">14. При оценке возможности работы аккредитованного ООС в области обязательной оценки (подтверждения) соответствия продукции требованиям Евразийского экономического союза, ООС должны соответствовать следующим критериям:</w:t>
      </w:r>
    </w:p>
    <w:p>
      <w:pPr>
        <w:spacing w:after="120"/>
        <w:ind w:firstLine="397"/>
        <w:jc w:val="both"/>
      </w:pPr>
      <w:r>
        <w:rPr>
          <w:rFonts w:ascii="Arial" w:cs="Arial" w:eastAsia="Arial" w:hAnsi="Arial"/>
          <w:sz w:val="24"/>
          <w:szCs w:val="24"/>
        </w:rPr>
        <w:t xml:space="preserve">- наличие у руководителя органа по сертификации, руководителя испытательной лаборатории (центра), руководителя органа инспекции, их заместителей высшего образования по специальности и (или) подготовки по направлению соответствующей всей области аккредитации или ее части, и опыта работы/знания в области оценки соответствия не менее 5 лет, а также соответствия, установленным самим аккредитованным ООС, требованиям к компетентности;</w:t>
      </w:r>
    </w:p>
    <w:p>
      <w:pPr>
        <w:spacing w:after="120"/>
        <w:ind w:firstLine="397"/>
        <w:jc w:val="both"/>
      </w:pPr>
      <w:r>
        <w:rPr>
          <w:rFonts w:ascii="Arial" w:cs="Arial" w:eastAsia="Arial" w:hAnsi="Arial"/>
          <w:sz w:val="24"/>
          <w:szCs w:val="24"/>
        </w:rPr>
        <w:t xml:space="preserve">- отсутствие в составе учредителей или участников юридического лица, аккредитованного в национальной системе аккредитации, в составе ключевого персонала аккредитованного ООС, лиц ранее являвшихся учредителями или участниками юридического лица, аккредитованного в национальной системе аккредитации; лиц, осуществлявших трудовую деятельность в составе ключевого персонала иных аккредитованных ООС, у которых в течение 2 лет, предшествующих дню подачи заявки о включении в национальную часть Единого реестра, были установлены/выявлены случаи массовой или систематической необоснованной выдачи результатов об оценке (подтверждении) соответствия, либо в аккредитованных ООС, уклонившихся от проведения оценки (плановых, внеплановых, внезапных без предупреждения) при осуществлении КЦА за деятельностью аккредитованного ООС;</w:t>
      </w:r>
    </w:p>
    <w:p>
      <w:pPr>
        <w:spacing w:after="120"/>
        <w:ind w:firstLine="397"/>
        <w:jc w:val="both"/>
      </w:pPr>
      <w:r>
        <w:rPr>
          <w:rFonts w:ascii="Arial" w:cs="Arial" w:eastAsia="Arial" w:hAnsi="Arial"/>
          <w:sz w:val="24"/>
          <w:szCs w:val="24"/>
        </w:rPr>
        <w:t xml:space="preserve">- отсутствие в течение 1 года, предшествующего дню подачи заявки о включении в национальную часть Единого реестра, фактов взаимодействия при выполнении работ по обязательной оценке (подтверждению) соответствия с аккредитованными ООС, в том числе органами по оценке (подтверждению) соответствия иностранных государств, допустивших случаи массовой или систематической необоснованной выдачи результатов об оценке (подтверждении) соответствия;</w:t>
      </w:r>
    </w:p>
    <w:p>
      <w:pPr>
        <w:spacing w:after="120"/>
        <w:ind w:firstLine="397"/>
        <w:jc w:val="both"/>
      </w:pPr>
      <w:r>
        <w:rPr>
          <w:rFonts w:ascii="Arial" w:cs="Arial" w:eastAsia="Arial" w:hAnsi="Arial"/>
          <w:sz w:val="24"/>
          <w:szCs w:val="24"/>
        </w:rPr>
        <w:t xml:space="preserve">- отсутствие выявленных в течение 1 года случаев необоснованной выдачи результатов об оценке (подтверждении) соответствия, повлекших за собой выпуск в обращение продукции, не соответствующей требованиям законодательства государства-члена или нормативных документов (для продукции, включенной в единый перечень) либо требованиям технических регламентов Союза;</w:t>
      </w:r>
    </w:p>
    <w:p>
      <w:pPr>
        <w:spacing w:after="120"/>
        <w:ind w:firstLine="397"/>
        <w:jc w:val="both"/>
      </w:pPr>
      <w:r>
        <w:rPr>
          <w:rFonts w:ascii="Arial" w:cs="Arial" w:eastAsia="Arial" w:hAnsi="Arial"/>
          <w:sz w:val="24"/>
          <w:szCs w:val="24"/>
        </w:rPr>
        <w:t xml:space="preserve">- отсутствие выявленных в течение 1 года случаев массовой и (или) систематической необоснованной выдачи результатов об оценке (подтверждении) соответствия;</w:t>
      </w:r>
    </w:p>
    <w:p>
      <w:pPr>
        <w:spacing w:after="120"/>
        <w:ind w:firstLine="397"/>
        <w:jc w:val="both"/>
      </w:pPr>
      <w:r>
        <w:rPr>
          <w:rFonts w:ascii="Arial" w:cs="Arial" w:eastAsia="Arial" w:hAnsi="Arial"/>
          <w:sz w:val="24"/>
          <w:szCs w:val="24"/>
        </w:rPr>
        <w:t xml:space="preserve">- отсутствие в материалах, представленных аккредитованным ООС в рамках рассмотрения КЦА вопроса о включении аккредитованного ООС в национальную часть Единого реестра, недостоверной или искаженной информации;</w:t>
      </w:r>
    </w:p>
    <w:p>
      <w:pPr>
        <w:spacing w:after="120"/>
        <w:ind w:firstLine="397"/>
        <w:jc w:val="both"/>
      </w:pPr>
      <w:r>
        <w:rPr>
          <w:rFonts w:ascii="Arial" w:cs="Arial" w:eastAsia="Arial" w:hAnsi="Arial"/>
          <w:sz w:val="24"/>
          <w:szCs w:val="24"/>
        </w:rPr>
        <w:t xml:space="preserve">- наличие в составе юридического лица, структурных подразделений органа по сертификации собственных испытательной лаборатории (центра)/органа инспекции, аккредитованных в национальной системе аккредитации, обеспечивающих проведение работ по оценке (подтверждению) соответствия и испытаний/исследований (измерений) и инспекции по требованиям технических регламентов Евразийского экономического союза (Таможенного союза) и в соответствии с предусмотренными правом Евразийского экономического союза методиками их проведения и включенных в национальную часть Единого реестра. При отсутствии в составе юридического лица испытательной лаборатории (центра)/органа инспекции, либо отсутствии у испытательной лаборатории (центра)/органа инспекции в области аккредитации части необходимых показателей или методов и процедур проведения испытаний/исследований (измерений) и инспекции оценивается наличие у аккредитованного ООС договора о выполнении соответствующих испытаний/исследований (измерений) и инспекции, заключенного на срок не менее 1 года, с иной испытательной лабораторией (центром), органом инспекции, аккредитованных в национальной системе аккредитации на проведение указанных исследований (испытаний) и измерений, инспекции/контроля и включенных в национальную часть Единого реестра;</w:t>
      </w:r>
    </w:p>
    <w:p>
      <w:pPr>
        <w:spacing w:after="120"/>
        <w:ind w:firstLine="397"/>
        <w:jc w:val="both"/>
      </w:pPr>
      <w:r>
        <w:rPr>
          <w:rFonts w:ascii="Arial" w:cs="Arial" w:eastAsia="Arial" w:hAnsi="Arial"/>
          <w:sz w:val="24"/>
          <w:szCs w:val="24"/>
        </w:rPr>
        <w:t xml:space="preserve">- проведение аккредитованным органом по сертификации самостоятельно всей процедуры сертификации, без передачи субподрядным организациям этапа оценивания на постоянной основе;</w:t>
      </w:r>
    </w:p>
    <w:p>
      <w:pPr>
        <w:spacing w:after="120"/>
        <w:ind w:firstLine="397"/>
        <w:jc w:val="both"/>
      </w:pPr>
      <w:r>
        <w:rPr>
          <w:rFonts w:ascii="Arial" w:cs="Arial" w:eastAsia="Arial" w:hAnsi="Arial"/>
          <w:sz w:val="24"/>
          <w:szCs w:val="24"/>
        </w:rPr>
        <w:t xml:space="preserve">- наличие у аккредитованного органа по сертификации опыта в национальной системе сертификации не менее 1 года, предшествующего дню подачи заявки о включении в национальную часть Единого реестра.</w:t>
      </w:r>
    </w:p>
    <w:p>
      <w:pPr>
        <w:spacing w:after="120"/>
        <w:ind w:firstLine="397"/>
        <w:jc w:val="both"/>
      </w:pPr>
      <w:r>
        <w:rPr>
          <w:rFonts w:ascii="Arial" w:cs="Arial" w:eastAsia="Arial" w:hAnsi="Arial"/>
          <w:sz w:val="24"/>
          <w:szCs w:val="24"/>
        </w:rPr>
        <w:t xml:space="preserve">15. При принятии положительного решения Комиссии о включении аккредитованных ООС в Единый реестр, КЦА в пятидневный срок направляет уведомление в Евразийскую экономическую комиссию и представляет сведения о них согласно порядку, регламентирующему информационное взаимодействие при реализации средствами интегрированной информационной системы внешней и взаимной торговли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путем размещения информации об аккредитованном ООС на официальных сайтах КЦА и ЕАЭС в сети Интернет.</w:t>
      </w:r>
    </w:p>
    <w:p>
      <w:pPr>
        <w:spacing w:after="120"/>
        <w:ind w:firstLine="397"/>
        <w:jc w:val="both"/>
      </w:pPr>
      <w:r>
        <w:rPr>
          <w:rFonts w:ascii="Arial" w:cs="Arial" w:eastAsia="Arial" w:hAnsi="Arial"/>
          <w:sz w:val="24"/>
          <w:szCs w:val="24"/>
        </w:rPr>
        <w:t xml:space="preserve">16. При необходимости включения аккредитованного ООС в Единый реестр или исключения их из Единого реестра, или актуализации сведений об аккредитованном ООС, КЦА представляет сведения в Евразийскую экономическую комиссию посредством интегрированной информационной системы общего процесса ЕАЭС.».</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46a26dsmsyirkmnz6e7f" Type="http://schemas.openxmlformats.org/officeDocument/2006/relationships/hyperlink" Target="http://kodeks.duckdns.org/document/112301#st_13" TargetMode="External"/><Relationship Id="rIdfgpds8mpyzfkemnc-flx2" Type="http://schemas.openxmlformats.org/officeDocument/2006/relationships/hyperlink" Target="http://kodeks.duckdns.org/document/112301#st_17" TargetMode="External"/><Relationship Id="rIdtgbqklvq9s1xmwq8g65lq" Type="http://schemas.openxmlformats.org/officeDocument/2006/relationships/hyperlink" Target="http://kodeks.duckdns.org/document/57960" TargetMode="External"/><Relationship Id="rIdsn5tizplw6ri_vibdvaxj" Type="http://schemas.openxmlformats.org/officeDocument/2006/relationships/hyperlink" Target="http://kodeks.duckdns.org/document/57960#p6" TargetMode="External"/><Relationship Id="rIdzrdxcbzbna5q1wk9vlpcd" Type="http://schemas.openxmlformats.org/officeDocument/2006/relationships/hyperlink" Target="http://kodeks.duckdns.org/document/230010881" TargetMode="External"/><Relationship Id="rIdeoxeayohfkurlzaygvtdu" Type="http://schemas.openxmlformats.org/officeDocument/2006/relationships/hyperlink" Target="http://kodeks.duckdns.org/document/230010881#pr" TargetMode="External"/><Relationship Id="rId6gq4y2zpz0nbhthpkxldz" Type="http://schemas.openxmlformats.org/officeDocument/2006/relationships/hyperlink" Target="http://kodeks.duckdns.org/document/230010921#pr" TargetMode="External"/><Relationship Id="rIdifzi4hh04n99stiyl9o2o" Type="http://schemas.openxmlformats.org/officeDocument/2006/relationships/hyperlink" Target="http://kodeks.duckdns.org/document/230010921" TargetMode="External"/><Relationship Id="rIdsyrzqxrgl9vmwrfgbdj_n" Type="http://schemas.openxmlformats.org/officeDocument/2006/relationships/hyperlink" Target="http://kodeks.duckdns.org/document/12908" TargetMode="External"/><Relationship Id="rIdxcszwf9mi4fgg_8kfl4-w" Type="http://schemas.openxmlformats.org/officeDocument/2006/relationships/hyperlink" Target="http://kodeks.duckdns.org/document/12908#p4" TargetMode="External"/><Relationship Id="rIduef19egwg1y7r3vfwkywa" Type="http://schemas.openxmlformats.org/officeDocument/2006/relationships/hyperlink" Target="http://kodeks.duckdns.org/document/12908#p4_1" TargetMode="External"/><Relationship Id="rIdwtwtjliiw8uztq3muxbqj" Type="http://schemas.openxmlformats.org/officeDocument/2006/relationships/hyperlink" Target="http://kodeks.duckdns.org/document/12908#p4_2" TargetMode="External"/><Relationship Id="rIdrpzdj4zeioerbfznjv8zt" Type="http://schemas.openxmlformats.org/officeDocument/2006/relationships/hyperlink" Target="http://kodeks.duckdns.org/document/12908#p8" TargetMode="External"/><Relationship Id="rIdexycaxwqznjrtoo-dkopy" Type="http://schemas.openxmlformats.org/officeDocument/2006/relationships/hyperlink" Target="http://kodeks.duckdns.org/document/230010901" TargetMode="External"/><Relationship Id="rIdsegck3sw1bda6lnhyovgq" Type="http://schemas.openxmlformats.org/officeDocument/2006/relationships/hyperlink" Target="http://kodeks.duckdns.org/document/12908" TargetMode="External"/><Relationship Id="rId4dvbs1v4iwchfjcqkpnud" Type="http://schemas.openxmlformats.org/officeDocument/2006/relationships/hyperlink" Target="http://kodeks.duckdns.org/document/230010901#p2" TargetMode="External"/><Relationship Id="rIdgnqim2phfmmnih3mzf5ex" Type="http://schemas.openxmlformats.org/officeDocument/2006/relationships/hyperlink" Target="http://kodeks.duckdns.org/document/230010901#p3" TargetMode="External"/><Relationship Id="rId-_0jjiyvxpgbdja-arpz2" Type="http://schemas.openxmlformats.org/officeDocument/2006/relationships/hyperlink" Target="http://kodeks.duckdns.org/document/230010901#p4" TargetMode="External"/><Relationship Id="rIdaqnuyec8ucfoo1zo62yhz" Type="http://schemas.openxmlformats.org/officeDocument/2006/relationships/hyperlink" Target="http://kodeks.duckdns.org/document/230010901#p5" TargetMode="External"/><Relationship Id="rId5m5y1euj4xlx9jajuskmj" Type="http://schemas.openxmlformats.org/officeDocument/2006/relationships/hyperlink" Target="http://kodeks.duckdns.org/document/230010901#p9" TargetMode="External"/><Relationship Id="rIdutbrpd-gn2-0hwiqyl7fn" Type="http://schemas.openxmlformats.org/officeDocument/2006/relationships/hyperlink" Target="http://kodeks.duckdns.org/document/230010901#p12" TargetMode="External"/><Relationship Id="rIdxr_p2igzc5goj9tektqn4" Type="http://schemas.openxmlformats.org/officeDocument/2006/relationships/hyperlink" Target="http://kodeks.duckdns.org/document/230010901#p15" TargetMode="External"/><Relationship Id="rIdcyh__ajbxv4xcx9tgajt5" Type="http://schemas.openxmlformats.org/officeDocument/2006/relationships/hyperlink" Target="http://kodeks.duckdns.org/document/230010901#p16" TargetMode="External"/><Relationship Id="rIdwqt4k0fvlqtbxuoi0p1e5" Type="http://schemas.openxmlformats.org/officeDocument/2006/relationships/hyperlink" Target="http://kodeks.duckdns.org/document/230010901#p17" TargetMode="External"/><Relationship Id="rIdrffhiojayxellpl3evyuo" Type="http://schemas.openxmlformats.org/officeDocument/2006/relationships/hyperlink" Target="http://kodeks.duckdns.org/document/230010901#p19" TargetMode="External"/><Relationship Id="rIdbzuhvku9ovrmtlyg--oml" Type="http://schemas.openxmlformats.org/officeDocument/2006/relationships/hyperlink" Target="http://kodeks.duckdns.org/document/230010881#pr"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2026-09-22T23:03:33.156Z</dcterms:created>
  <dcterms:modified xsi:type="dcterms:W3CDTF">2026-09-22T23:03:33.156Z</dcterms:modified>
</cp:coreProperties>
</file>

<file path=docProps/custom.xml><?xml version="1.0" encoding="utf-8"?>
<Properties xmlns="http://schemas.openxmlformats.org/officeDocument/2006/custom-properties" xmlns:vt="http://schemas.openxmlformats.org/officeDocument/2006/docPropsVTypes"/>
</file>