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4 июля 2024 года № 361</w:t>
      </w:r>
    </w:p>
    <w:p>
      <w:pPr>
        <w:spacing w:after="400" w:before="400"/>
        <w:jc w:val="center"/>
      </w:pPr>
      <w:r>
        <w:rPr>
          <w:rFonts w:ascii="Arial" w:cs="Arial" w:eastAsia="Arial" w:hAnsi="Arial"/>
          <w:b/>
          <w:bCs/>
          <w:sz w:val="28"/>
          <w:szCs w:val="28"/>
        </w:rPr>
        <w:t xml:space="preserve">О введении маркировки топлива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f5boqwp11ef-lgrubyfdz">
        <w:r>
          <w:rPr>
            <w:rFonts w:ascii="Arial" w:cs="Arial" w:eastAsia="Arial" w:hAnsi="Arial"/>
            <w:i/>
            <w:iCs/>
            <w:color w:val="1D4ED8"/>
            <w:sz w:val="24"/>
            <w:szCs w:val="24"/>
            <w:u w:val="single"/>
          </w:rPr>
          <w:t xml:space="preserve">23 августа 2024 года № 499, </w:t>
        </w:r>
      </w:hyperlink>
      <w:hyperlink w:history="1" r:id="rIdfgqzfx7cpwcy1it8p7d1l">
        <w:r>
          <w:rPr>
            <w:rFonts w:ascii="Arial" w:cs="Arial" w:eastAsia="Arial" w:hAnsi="Arial"/>
            <w:i/>
            <w:iCs/>
            <w:color w:val="1D4ED8"/>
            <w:sz w:val="24"/>
            <w:szCs w:val="24"/>
            <w:u w:val="single"/>
          </w:rPr>
          <w:t xml:space="preserve">4 апреля 2025 года № 179, </w:t>
        </w:r>
      </w:hyperlink>
      <w:hyperlink w:history="1" r:id="rIdlyjcf7xoxkdjc17bxbzn2">
        <w:r>
          <w:rPr>
            <w:rFonts w:ascii="Arial" w:cs="Arial" w:eastAsia="Arial" w:hAnsi="Arial"/>
            <w:i/>
            <w:iCs/>
            <w:color w:val="1D4ED8"/>
            <w:sz w:val="24"/>
            <w:szCs w:val="24"/>
            <w:u w:val="single"/>
          </w:rPr>
          <w:t xml:space="preserve">28 августа 2025 года № 533)</w:t>
        </w:r>
      </w:hyperlink>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требований части 1 </w:t>
      </w:r>
      <w:hyperlink w:history="1" r:id="rIdui4j2ptol4pzky51magqh">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uxtiqpef-ea8uorueivl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j-cg4iuxwcekjsodpsd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w:t>
      </w:r>
      <w:r>
        <w:rPr>
          <w:rFonts w:ascii="Arial" w:cs="Arial" w:eastAsia="Arial" w:hAnsi="Arial"/>
          <w:sz w:val="24"/>
          <w:szCs w:val="24"/>
        </w:rPr>
        <w:t xml:space="preserve">Положение</w:t>
      </w:r>
      <w:r>
        <w:rPr>
          <w:rFonts w:ascii="Arial" w:cs="Arial" w:eastAsia="Arial" w:hAnsi="Arial"/>
          <w:sz w:val="24"/>
          <w:szCs w:val="24"/>
        </w:rPr>
        <w:t xml:space="preserve"> о порядке применения топливного маркера в Кыргызской Республике согласно </w:t>
      </w:r>
      <w:hyperlink w:history="1" r:id="rId-8zzbb2ym52gglv0kpal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что:</w:t>
      </w:r>
    </w:p>
    <w:p>
      <w:pPr>
        <w:spacing w:after="60"/>
        <w:ind w:firstLine="567"/>
        <w:jc w:val="both"/>
      </w:pPr>
      <w:r>
        <w:rPr>
          <w:rFonts w:ascii="Arial" w:cs="Arial" w:eastAsia="Arial" w:hAnsi="Arial"/>
          <w:sz w:val="24"/>
          <w:szCs w:val="24"/>
        </w:rPr>
        <w:t xml:space="preserve">1) с 1 октября 2024 года маркировке топливным маркером подлежат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271012110–271012900, 2710191100–2710191500, 2710192500, 27101209000, 3811119000, 3811190000,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 –спирита, не предназначенных для использования в качестве автомобильного топлива, расфасованных в тару объемом 10 литров и менее, классифицируемых в товарных позициях ТН ВЭД 3811190000, 2710122509, 2710122100;</w:t>
      </w:r>
    </w:p>
    <w:p>
      <w:pPr>
        <w:spacing w:after="60"/>
        <w:ind w:firstLine="567"/>
        <w:jc w:val="both"/>
      </w:pPr>
      <w:r>
        <w:rPr>
          <w:rFonts w:ascii="Arial" w:cs="Arial" w:eastAsia="Arial" w:hAnsi="Arial"/>
          <w:sz w:val="24"/>
          <w:szCs w:val="24"/>
        </w:rPr>
        <w:t xml:space="preserve">2) с 1 января 2025 года запрещается оборот остатков немаркированного топлива, указанного в подпункте 1 настоящего пункта;</w:t>
      </w:r>
    </w:p>
    <w:p>
      <w:pPr>
        <w:spacing w:after="60"/>
        <w:ind w:firstLine="567"/>
        <w:jc w:val="both"/>
      </w:pPr>
      <w:r>
        <w:rPr>
          <w:rFonts w:ascii="Arial" w:cs="Arial" w:eastAsia="Arial" w:hAnsi="Arial"/>
          <w:sz w:val="24"/>
          <w:szCs w:val="24"/>
        </w:rPr>
        <w:t xml:space="preserve">3) налогоплательщики обязаны замаркировать остатки топлива в срок до введения запрета оборота немаркированного топлива.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2dbzicbvdecweqvnbbqst">
        <w:r>
          <w:rPr>
            <w:rFonts w:ascii="Arial" w:cs="Arial" w:eastAsia="Arial" w:hAnsi="Arial"/>
            <w:i/>
            <w:iCs/>
            <w:color w:val="1D4ED8"/>
            <w:sz w:val="24"/>
            <w:szCs w:val="24"/>
            <w:u w:val="single"/>
          </w:rPr>
          <w:t xml:space="preserve">23 августа 2024 года № 499, </w:t>
        </w:r>
      </w:hyperlink>
      <w:hyperlink w:history="1" r:id="rIdn_ynrthydpjk51cyg3-xk">
        <w:r>
          <w:rPr>
            <w:rFonts w:ascii="Arial" w:cs="Arial" w:eastAsia="Arial" w:hAnsi="Arial"/>
            <w:i/>
            <w:iCs/>
            <w:color w:val="1D4ED8"/>
            <w:sz w:val="24"/>
            <w:szCs w:val="24"/>
            <w:u w:val="single"/>
          </w:rPr>
          <w:t xml:space="preserve"> 4 апреля 2025 года № 179, </w:t>
        </w:r>
      </w:hyperlink>
      <w:hyperlink w:history="1" r:id="rIdvx5opuqki5tfz3ntivqc8">
        <w:r>
          <w:rPr>
            <w:rFonts w:ascii="Arial" w:cs="Arial" w:eastAsia="Arial" w:hAnsi="Arial"/>
            <w:i/>
            <w:iCs/>
            <w:color w:val="1D4ED8"/>
            <w:sz w:val="24"/>
            <w:szCs w:val="24"/>
            <w:u w:val="single"/>
          </w:rPr>
          <w:t xml:space="preserve">28 августа 2025 года № 533</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3. Внести в </w:t>
      </w:r>
      <w:hyperlink w:history="1" r:id="rIdpcl1z3roojrkrawml77o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учете и контроле товаров на территории Кыргызской Республики" от 14 апреля 2022 года № 220 следующие изменения:</w:t>
      </w:r>
    </w:p>
    <w:p>
      <w:pPr>
        <w:spacing w:after="60"/>
        <w:ind w:firstLine="567"/>
        <w:jc w:val="both"/>
      </w:pPr>
      <w:r>
        <w:rPr>
          <w:rFonts w:ascii="Arial" w:cs="Arial" w:eastAsia="Arial" w:hAnsi="Arial"/>
          <w:sz w:val="24"/>
          <w:szCs w:val="24"/>
        </w:rPr>
        <w:t xml:space="preserve">1) дополнить пунктом 1-1 следующего содержания:</w:t>
      </w:r>
    </w:p>
    <w:p>
      <w:pPr>
        <w:spacing w:after="60"/>
        <w:ind w:firstLine="567"/>
        <w:jc w:val="both"/>
      </w:pPr>
      <w:r>
        <w:rPr>
          <w:rFonts w:ascii="Arial" w:cs="Arial" w:eastAsia="Arial" w:hAnsi="Arial"/>
          <w:sz w:val="24"/>
          <w:szCs w:val="24"/>
        </w:rPr>
        <w:t xml:space="preserve">"1-1. Порядок применения контрольных пломб на нефтепродукты утверждается уполномоченным налоговым органом.</w:t>
      </w:r>
    </w:p>
    <w:p>
      <w:pPr>
        <w:spacing w:after="60"/>
        <w:ind w:firstLine="567"/>
        <w:jc w:val="both"/>
      </w:pPr>
      <w:r>
        <w:rPr>
          <w:rFonts w:ascii="Arial" w:cs="Arial" w:eastAsia="Arial" w:hAnsi="Arial"/>
          <w:sz w:val="24"/>
          <w:szCs w:val="24"/>
        </w:rPr>
        <w:t xml:space="preserve">Установить крайний срок применения контрольных пломб на нефтепродукты на территории Кыргызской Республики 31 декабря 2024 года.";</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Положение</w:t>
      </w:r>
      <w:r>
        <w:rPr>
          <w:rFonts w:ascii="Arial" w:cs="Arial" w:eastAsia="Arial" w:hAnsi="Arial"/>
          <w:sz w:val="24"/>
          <w:szCs w:val="24"/>
        </w:rPr>
        <w:t xml:space="preserve"> о порядке учета и контроля нефти и нефтепродуктов на территории Кыргызской Республики, утвержденное вышеуказанным </w:t>
      </w:r>
      <w:hyperlink w:history="1" r:id="rIdd5y9l31kzhp9dmvtuzd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tmivvsdf3brrxfsqjx3y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 1 августа 2024 года.</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9 июля 2024 года № 51 (3604)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учета и контроля нефти и нефтепродуктов на территории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нефти и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система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нефтяным газом (пропан);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природным газом (метан);</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газохранилище</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сжиженного газа;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классифицируемые в товарных позициях ТН ВЭД 271012110-271012900, 2710191100-2710191500, 2710192500,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информационная система "Электронная товаротранспортная накладная" (далее - ИС ЭТТН)</w:t>
      </w:r>
      <w:r>
        <w:rPr>
          <w:rFonts w:ascii="Arial" w:cs="Arial" w:eastAsia="Arial" w:hAnsi="Arial"/>
          <w:sz w:val="24"/>
          <w:szCs w:val="24"/>
        </w:rPr>
        <w:t xml:space="preserve"> - информационная система налогового администрирования Кыргызской Республики, используемая налогоплательщиками и уполномоченным налоговым органом;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w:t>
      </w:r>
      <w:r>
        <w:rPr>
          <w:rFonts w:ascii="Arial" w:cs="Arial" w:eastAsia="Arial" w:hAnsi="Arial"/>
          <w:sz w:val="24"/>
          <w:szCs w:val="24"/>
        </w:rPr>
        <w:t xml:space="preserve"> -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Евразийского экономического союза (далее - ЕАЭС);</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топливно-раздаточная колонка</w:t>
      </w:r>
      <w:r>
        <w:rPr>
          <w:rFonts w:ascii="Arial" w:cs="Arial" w:eastAsia="Arial" w:hAnsi="Arial"/>
          <w:sz w:val="24"/>
          <w:szCs w:val="24"/>
        </w:rPr>
        <w:t xml:space="preserve"> - колонка по заправке автомашин нефтепродуктами;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транспортировка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электронная товаротранспортная накладная (далее - ЭТТН)</w:t>
      </w:r>
      <w:r>
        <w:rPr>
          <w:rFonts w:ascii="Arial" w:cs="Arial" w:eastAsia="Arial" w:hAnsi="Arial"/>
          <w:sz w:val="24"/>
          <w:szCs w:val="24"/>
        </w:rPr>
        <w:t xml:space="preserve"> - документ, оформляемый участником электронного документооборота при обороте товаров посредством ИС ЭТТН,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осуществляются в соответствии с настоящим Положением. К нефти и нефтепродуктам относятся товары, указанные в таблице к настоящему Положению.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w:t>
      </w:r>
    </w:p>
    <w:p>
      <w:pPr>
        <w:spacing w:after="60"/>
        <w:ind w:firstLine="567"/>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7188"/>
        <w:gridCol w:w="2467"/>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1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w:t>
            </w:r>
          </w:p>
        </w:tc>
        <w:tc>
          <w:tcPr>
            <w:tcW w:type="dxa" w:w="24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r>
              <w:rPr>
                <w:rFonts w:ascii="Arial" w:cs="Arial" w:eastAsia="Arial" w:hAnsi="Arial"/>
                <w:sz w:val="24"/>
                <w:szCs w:val="24"/>
              </w:rPr>
              <w:t xml:space="preserve">нефть сырая и нефтепродукты сырые,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00 900 1 -
 2709 00 900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r>
              <w:rPr>
                <w:rFonts w:ascii="Arial" w:cs="Arial" w:eastAsia="Arial" w:hAnsi="Arial"/>
                <w:sz w:val="24"/>
                <w:szCs w:val="24"/>
              </w:rPr>
              <w:t xml:space="preserve">бензин автомобильный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12 110 -
 2710 12 900 8;</w:t>
            </w:r>
            <w:r>
              <w:rPr>
                <w:rFonts w:ascii="Arial" w:cs="Arial" w:eastAsia="Arial" w:hAnsi="Arial"/>
                <w:sz w:val="24"/>
                <w:szCs w:val="24"/>
              </w:rPr>
              <w:t xml:space="preserve">2710 19 110 0 -
 2710 19 150 0;</w:t>
            </w:r>
            <w:r>
              <w:rPr>
                <w:rFonts w:ascii="Arial" w:cs="Arial" w:eastAsia="Arial" w:hAnsi="Arial"/>
                <w:sz w:val="24"/>
                <w:szCs w:val="24"/>
              </w:rPr>
              <w:t xml:space="preserve"> 2710 19 250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2710 19 210 0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19 290 0;</w:t>
            </w:r>
            <w:r>
              <w:rPr>
                <w:rFonts w:ascii="Arial" w:cs="Arial" w:eastAsia="Arial" w:hAnsi="Arial"/>
                <w:sz w:val="24"/>
                <w:szCs w:val="24"/>
              </w:rPr>
              <w:t xml:space="preserve">2710 19 310 0 -
 2710 19 480 0;</w:t>
            </w:r>
            <w:r>
              <w:rPr>
                <w:rFonts w:ascii="Arial" w:cs="Arial" w:eastAsia="Arial" w:hAnsi="Arial"/>
                <w:sz w:val="24"/>
                <w:szCs w:val="24"/>
              </w:rPr>
              <w:t xml:space="preserve">2710 20 110 0 -
 2710 20 190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19 510 -
 2710 19 680 9;</w:t>
            </w:r>
            <w:r>
              <w:rPr>
                <w:rFonts w:ascii="Arial" w:cs="Arial" w:eastAsia="Arial" w:hAnsi="Arial"/>
                <w:sz w:val="24"/>
                <w:szCs w:val="24"/>
              </w:rPr>
              <w:t xml:space="preserve">2710 20 310 1 -
 2710 20 390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природный газ для использования в качестве топлива для автотранспортных средств (метан)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11 000 0;</w:t>
            </w:r>
            <w:r>
              <w:rPr>
                <w:rFonts w:ascii="Arial" w:cs="Arial" w:eastAsia="Arial" w:hAnsi="Arial"/>
                <w:sz w:val="24"/>
                <w:szCs w:val="24"/>
              </w:rPr>
              <w:t xml:space="preserve">2711 21 000 0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нефтяной газ для использования в качестве топлива для автотранспортных средств (пропан)</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 12 110 0;</w:t>
            </w:r>
            <w:r>
              <w:rPr>
                <w:rFonts w:ascii="Arial" w:cs="Arial" w:eastAsia="Arial" w:hAnsi="Arial"/>
                <w:sz w:val="24"/>
                <w:szCs w:val="24"/>
              </w:rPr>
              <w:t xml:space="preserve">2711 12 190 0;</w:t>
            </w:r>
            <w:r>
              <w:rPr>
                <w:rFonts w:ascii="Arial" w:cs="Arial" w:eastAsia="Arial" w:hAnsi="Arial"/>
                <w:sz w:val="24"/>
                <w:szCs w:val="24"/>
              </w:rPr>
              <w:t xml:space="preserve">2711 12 970 0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этанольные топлива для двигателей с принудительным зажиганием</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2710 12 419 0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другие продукты высокотемпературной перегонки каменноугольной смолы;</w:t>
            </w:r>
            <w:r>
              <w:rPr>
                <w:rFonts w:ascii="Arial" w:cs="Arial" w:eastAsia="Arial" w:hAnsi="Arial"/>
                <w:sz w:val="24"/>
                <w:szCs w:val="24"/>
              </w:rPr>
              <w:t xml:space="preserve">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 10 100 0;</w:t>
            </w:r>
            <w:r>
              <w:rPr>
                <w:rFonts w:ascii="Arial" w:cs="Arial" w:eastAsia="Arial" w:hAnsi="Arial"/>
                <w:sz w:val="24"/>
                <w:szCs w:val="24"/>
              </w:rPr>
              <w:t xml:space="preserve">2707 99 110 0 -
 2707 99 990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w:t>
            </w:r>
            <w:r>
              <w:rPr>
                <w:rFonts w:ascii="Arial" w:cs="Arial" w:eastAsia="Arial" w:hAnsi="Arial"/>
                <w:sz w:val="24"/>
                <w:szCs w:val="24"/>
              </w:rPr>
              <w:t xml:space="preserve">2710 12 150 9;</w:t>
            </w:r>
            <w:r>
              <w:rPr>
                <w:rFonts w:ascii="Arial" w:cs="Arial" w:eastAsia="Arial" w:hAnsi="Arial"/>
                <w:sz w:val="24"/>
                <w:szCs w:val="24"/>
              </w:rPr>
              <w:t xml:space="preserve">2710 12 250;</w:t>
            </w:r>
            <w:r>
              <w:rPr>
                <w:rFonts w:ascii="Arial" w:cs="Arial" w:eastAsia="Arial" w:hAnsi="Arial"/>
                <w:sz w:val="24"/>
                <w:szCs w:val="24"/>
              </w:rPr>
              <w:t xml:space="preserve">2710 12 900;</w:t>
            </w:r>
            <w:r>
              <w:rPr>
                <w:rFonts w:ascii="Arial" w:cs="Arial" w:eastAsia="Arial" w:hAnsi="Arial"/>
                <w:sz w:val="24"/>
                <w:szCs w:val="24"/>
              </w:rPr>
              <w:t xml:space="preserve">2710 19;</w:t>
            </w:r>
            <w:r>
              <w:rPr>
                <w:rFonts w:ascii="Arial" w:cs="Arial" w:eastAsia="Arial" w:hAnsi="Arial"/>
                <w:sz w:val="24"/>
                <w:szCs w:val="24"/>
              </w:rPr>
              <w:t xml:space="preserve">3826 00 900 0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смазочные; масла прочие</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19 710 0 -
 2710 19 980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нефтепродукты (биотопливо, топливо экологическое, смесь легких дистиллятов)</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2710 20 900 0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 (композит газовый стабильный)</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 00 100 1;</w:t>
            </w:r>
            <w:r>
              <w:rPr>
                <w:rFonts w:ascii="Arial" w:cs="Arial" w:eastAsia="Arial" w:hAnsi="Arial"/>
                <w:sz w:val="24"/>
                <w:szCs w:val="24"/>
              </w:rPr>
              <w:t xml:space="preserve">2709 00 100 9</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антидетонаторы на основе соединений свинца, используемые в тех же целях, что и нефтепродукты</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11 100 0 -
 3811 11 900 0;</w:t>
            </w:r>
            <w:r>
              <w:rPr>
                <w:rFonts w:ascii="Arial" w:cs="Arial" w:eastAsia="Arial" w:hAnsi="Arial"/>
                <w:sz w:val="24"/>
                <w:szCs w:val="24"/>
              </w:rPr>
              <w:t xml:space="preserve">3811 19 000 0</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 21 000 0;</w:t>
            </w:r>
            <w:r>
              <w:rPr>
                <w:rFonts w:ascii="Arial" w:cs="Arial" w:eastAsia="Arial" w:hAnsi="Arial"/>
                <w:sz w:val="24"/>
                <w:szCs w:val="24"/>
              </w:rPr>
              <w:t xml:space="preserve">3811 29 000 0;</w:t>
            </w:r>
            <w:r>
              <w:rPr>
                <w:rFonts w:ascii="Arial" w:cs="Arial" w:eastAsia="Arial" w:hAnsi="Arial"/>
                <w:sz w:val="24"/>
                <w:szCs w:val="24"/>
              </w:rPr>
              <w:t xml:space="preserve">3811 90 000 0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наличием маркировки топлива в отношении бензина и дизельного топлива.</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с функцией печати на контрольно-кассовом чеке информации о реализуемом топливе (наименование, код ТН ВЭД ЕАЭС, количество, цена за 1 литр, итоговая сумма) и ее передачи в режиме реального времени в уполномоченный налоговый орган,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7 и 8 таблицы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 а также имеющую маркировку топлива в отношении бензина и дизельного топлива.</w:t>
      </w:r>
    </w:p>
    <w:p>
      <w:pPr>
        <w:spacing w:after="60"/>
        <w:ind w:firstLine="567"/>
        <w:jc w:val="both"/>
      </w:pPr>
      <w:r>
        <w:rPr>
          <w:rFonts w:ascii="Arial" w:cs="Arial" w:eastAsia="Arial" w:hAnsi="Arial"/>
          <w:sz w:val="24"/>
          <w:szCs w:val="24"/>
        </w:rPr>
        <w:t xml:space="preserve">5. Для контроля ввоза/импорта сжиженного углеводородного газа на газохранилищах в обязательном порядке устанавливаются приборы учета поступающего газа, сертифицированные органами сертификации, с ежемесячным предоставлением показателей органам налоговой службы.</w:t>
      </w:r>
    </w:p>
    <w:p>
      <w:pPr>
        <w:spacing w:after="60"/>
        <w:ind w:firstLine="567"/>
        <w:jc w:val="both"/>
      </w:pPr>
      <w:r>
        <w:rPr>
          <w:rFonts w:ascii="Arial" w:cs="Arial" w:eastAsia="Arial" w:hAnsi="Arial"/>
          <w:sz w:val="24"/>
          <w:szCs w:val="24"/>
        </w:rPr>
        <w:t xml:space="preserve">6.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ЭТТН, а также проверяется наличие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7.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ЭТТН, а также наличием топливного маркера в отношении бензина и дизельного топлива.</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а также требований маркировки топлива к субъектам предпринимательства применяются меры ответственности в соответствии с законодательством Кыргызской Республики о правонарушениях.</w:t>
      </w:r>
    </w:p>
    <w:p>
      <w:pPr>
        <w:spacing w:after="200" w:before="200"/>
        <w:jc w:val="center"/>
      </w:pPr>
      <w:r>
        <w:rPr>
          <w:rFonts w:ascii="Arial" w:cs="Arial" w:eastAsia="Arial" w:hAnsi="Arial"/>
          <w:b/>
          <w:bCs/>
          <w:sz w:val="32"/>
          <w:szCs w:val="32"/>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8.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АСУ.</w:t>
      </w:r>
    </w:p>
    <w:p>
      <w:pPr>
        <w:spacing w:after="60"/>
        <w:ind w:firstLine="567"/>
        <w:jc w:val="both"/>
      </w:pPr>
      <w:r>
        <w:rPr>
          <w:rFonts w:ascii="Arial" w:cs="Arial" w:eastAsia="Arial" w:hAnsi="Arial"/>
          <w:sz w:val="24"/>
          <w:szCs w:val="24"/>
        </w:rPr>
        <w:t xml:space="preserve">9.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10.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11.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12.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13. В случае необеспечения исполнения пункта 8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200" w:before="200"/>
        <w:jc w:val="center"/>
      </w:pPr>
      <w:r>
        <w:rPr>
          <w:rFonts w:ascii="Arial" w:cs="Arial" w:eastAsia="Arial" w:hAnsi="Arial"/>
          <w:b/>
          <w:bCs/>
          <w:sz w:val="32"/>
          <w:szCs w:val="32"/>
        </w:rPr>
        <w:t xml:space="preserve">Глава 3. Учет ввоза/импорта нефти и нефтепродуктов</w:t>
      </w:r>
    </w:p>
    <w:p>
      <w:pPr>
        <w:spacing w:after="60"/>
        <w:ind w:firstLine="567"/>
        <w:jc w:val="both"/>
      </w:pPr>
      <w:r>
        <w:rPr>
          <w:rFonts w:ascii="Arial" w:cs="Arial" w:eastAsia="Arial" w:hAnsi="Arial"/>
          <w:sz w:val="24"/>
          <w:szCs w:val="24"/>
        </w:rPr>
        <w:t xml:space="preserve">14. В целях контроля налогоплательщика, осуществляющего ввоз товаров на территорию Кыргызской Республики, оператор маркировки топлива совместно с сотрудником налогового органа производит инспекцию ввозимых/импортируемых нефтепродуктов на соответствие сопроводительным документам.</w:t>
      </w:r>
    </w:p>
    <w:p>
      <w:pPr>
        <w:spacing w:after="60"/>
        <w:ind w:firstLine="567"/>
        <w:jc w:val="both"/>
      </w:pPr>
      <w:r>
        <w:rPr>
          <w:rFonts w:ascii="Arial" w:cs="Arial" w:eastAsia="Arial" w:hAnsi="Arial"/>
          <w:sz w:val="24"/>
          <w:szCs w:val="24"/>
        </w:rPr>
        <w:t xml:space="preserve">15. Оператор маркировки топлива совместно с сотрудником налогового органа при ввозе налогоплательщиком нефти или нефтепродуктов на территорию Кыргызской Республики железнодорожным транспортом производят проверку наличия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16. Оператор маркировки топлива совместно с сотрудником налогового органа при ввозе субъектом нефти или нефтепродуктов на территорию Кыргызской Республики автотранспортным средством производят проверку наличия международной транспортной накладной (CMR),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17. В случае наличия и соответствия документов, указанных в пункте 16 настоящего Положения, оператор маркировки топлива маркирует бензин или дизель на основании решения уполномоченного налогового органа.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bdt_tw7vb40kwidvogo">
      <w:r>
        <w:rPr>
          <w:rFonts w:ascii="Arial" w:cs="Arial" w:eastAsia="Arial" w:hAnsi="Arial"/>
          <w:color w:val="132D3F"/>
          <w:sz w:val="16"/>
          <w:szCs w:val="16"/>
          <w:u w:val="single"/>
        </w:rPr>
        <w:t xml:space="preserve">dalil.kg/document/230011268</w:t>
      </w:r>
    </w:hyperlink>
  </w:p>
  <w:p>
    <w:pPr>
      <w:spacing w:after="0" w:before="40"/>
      <w:jc w:val="center"/>
    </w:pPr>
    <w:hyperlink w:history="1" r:id="rIdzlix7okucabg4mafxcg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boqwp11ef-lgrubyfdz" Type="http://schemas.openxmlformats.org/officeDocument/2006/relationships/hyperlink" Target="https://dalil.kg/document/230012708" TargetMode="External"/><Relationship Id="rIdfgqzfx7cpwcy1it8p7d1l" Type="http://schemas.openxmlformats.org/officeDocument/2006/relationships/hyperlink" Target="https://dalil.kg/document/230037949" TargetMode="External"/><Relationship Id="rIdlyjcf7xoxkdjc17bxbzn2" Type="http://schemas.openxmlformats.org/officeDocument/2006/relationships/hyperlink" Target="https://dalil.kg/document/230030441" TargetMode="External"/><Relationship Id="rIdui4j2ptol4pzky51magqh" Type="http://schemas.openxmlformats.org/officeDocument/2006/relationships/hyperlink" Target="https://dalil.kg/document/112340#st_345" TargetMode="External"/><Relationship Id="rIduxtiqpef-ea8uorueivld" Type="http://schemas.openxmlformats.org/officeDocument/2006/relationships/hyperlink" Target="https://dalil.kg/document/112301#st_13" TargetMode="External"/><Relationship Id="rIdlj-cg4iuxwcekjsodpsdy" Type="http://schemas.openxmlformats.org/officeDocument/2006/relationships/hyperlink" Target="https://dalil.kg/document/112301#st_17" TargetMode="External"/><Relationship Id="rId-8zzbb2ym52gglv0kpale" Type="http://schemas.openxmlformats.org/officeDocument/2006/relationships/hyperlink" Target="https://dalil.kg/document/230011269" TargetMode="External"/><Relationship Id="rId2dbzicbvdecweqvnbbqst" Type="http://schemas.openxmlformats.org/officeDocument/2006/relationships/hyperlink" Target="https://dalil.kg/document/230012708" TargetMode="External"/><Relationship Id="rIdn_ynrthydpjk51cyg3-xk" Type="http://schemas.openxmlformats.org/officeDocument/2006/relationships/hyperlink" Target="https://dalil.kg/document/230037949" TargetMode="External"/><Relationship Id="rIdvx5opuqki5tfz3ntivqc8" Type="http://schemas.openxmlformats.org/officeDocument/2006/relationships/hyperlink" Target="https://dalil.kg/document/230030441" TargetMode="External"/><Relationship Id="rIdpcl1z3roojrkrawml77oh" Type="http://schemas.openxmlformats.org/officeDocument/2006/relationships/hyperlink" Target="https://dalil.kg/document/159151" TargetMode="External"/><Relationship Id="rIdd5y9l31kzhp9dmvtuzdal" Type="http://schemas.openxmlformats.org/officeDocument/2006/relationships/hyperlink" Target="https://dalil.kg/document/159151" TargetMode="External"/><Relationship Id="rIdtmivvsdf3brrxfsqjx3yl" Type="http://schemas.openxmlformats.org/officeDocument/2006/relationships/hyperlink" Target="https://dalil.kg/document/230011268#pr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bdt_tw7vb40kwidvogo" Type="http://schemas.openxmlformats.org/officeDocument/2006/relationships/hyperlink" Target="https://dalil.kg/document/230011268" TargetMode="External"/><Relationship Id="rIdzlix7okucabg4mafxcg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2026-09-25T14:28:11.634Z</dcterms:created>
  <dcterms:modified xsi:type="dcterms:W3CDTF">2026-09-25T14:28:11.634Z</dcterms:modified>
</cp:coreProperties>
</file>

<file path=docProps/custom.xml><?xml version="1.0" encoding="utf-8"?>
<Properties xmlns="http://schemas.openxmlformats.org/officeDocument/2006/custom-properties" xmlns:vt="http://schemas.openxmlformats.org/officeDocument/2006/docPropsVTypes"/>
</file>