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n9zgbzpgfvbtjvyu1tyo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апреля 2022 года № 220)</w:t>
      </w:r>
    </w:p>
    <w:p>
      <w:pPr>
        <w:spacing w:after="400" w:before="400"/>
        <w:jc w:val="center"/>
      </w:pPr>
      <w:r>
        <w:rPr>
          <w:rFonts w:ascii="Arial" w:cs="Arial" w:eastAsia="Arial" w:hAnsi="Arial"/>
          <w:b/>
          <w:bCs/>
          <w:sz w:val="28"/>
          <w:szCs w:val="28"/>
        </w:rPr>
        <w:t xml:space="preserve">ПОЛОЖЕНИЕ
 о порядке учета и контроля нефти и нефтепродуктов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b2m88fgjgpikynvcusegq">
        <w:r>
          <w:rPr>
            <w:rFonts w:ascii="Arial" w:cs="Arial" w:eastAsia="Arial" w:hAnsi="Arial"/>
            <w:i/>
            <w:iCs/>
            <w:color w:val="1D4ED8"/>
            <w:sz w:val="24"/>
            <w:szCs w:val="24"/>
            <w:u w:val="single"/>
          </w:rPr>
          <w:t xml:space="preserve">4 июля 2024 года № 361, </w:t>
        </w:r>
      </w:hyperlink>
      <w:hyperlink w:history="1" r:id="rIdjd-dp35fxpaghsx5vuy8y">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учета и контроля за движением нефти и нефтепродуктов на территории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 трактуются в значении, определенном настоящим Положением. В случае отсутствия трактовки терминов и определений в настоящем Положении термины и определения трактуются в значении, определенном соответствующим законодательством Кыргызской Республики и/или нормативными правовыми актами Евразийского экономического союза: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автозаправочная станция (далее - АЗС)</w:t>
      </w:r>
      <w:r>
        <w:rPr>
          <w:rFonts w:ascii="Arial" w:cs="Arial" w:eastAsia="Arial" w:hAnsi="Arial"/>
          <w:sz w:val="24"/>
          <w:szCs w:val="24"/>
        </w:rPr>
        <w:t xml:space="preserve"> - станция по заправке автотранспортных средств бензином и дизельным топливом;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автоматизированная система управления автозаправочной станцией (далее - АСУ)</w:t>
      </w:r>
      <w:r>
        <w:rPr>
          <w:rFonts w:ascii="Arial" w:cs="Arial" w:eastAsia="Arial" w:hAnsi="Arial"/>
          <w:sz w:val="24"/>
          <w:szCs w:val="24"/>
        </w:rPr>
        <w:t xml:space="preserve"> - это система автоматизации станций по заправке автотранспортных средств нефтепродуктами, использующее подсистемы и соответствующее оборудование, в комплексе обеспечивающие управление функциями станций, в том числе синхронизацию работы топливно-раздаточных колонок и контрольно-кассовой машины в части отпуска нефтепродуктов только после пробития фискального чека;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автомобильные газозаправочные станции</w:t>
      </w:r>
      <w:r>
        <w:rPr>
          <w:rFonts w:ascii="Arial" w:cs="Arial" w:eastAsia="Arial" w:hAnsi="Arial"/>
          <w:sz w:val="24"/>
          <w:szCs w:val="24"/>
        </w:rPr>
        <w:t xml:space="preserve"> - станции по заправке автотранспортных средств нефтяным газом (пропан);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автомобильные газонаполнительные компрессорные станции</w:t>
      </w:r>
      <w:r>
        <w:rPr>
          <w:rFonts w:ascii="Arial" w:cs="Arial" w:eastAsia="Arial" w:hAnsi="Arial"/>
          <w:sz w:val="24"/>
          <w:szCs w:val="24"/>
        </w:rPr>
        <w:t xml:space="preserve"> - станции по заправке автотранспортных средств природным газом (метан);</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газохранилище</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сжиженного газа;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железнодорожный сливной тупик</w:t>
      </w:r>
      <w:r>
        <w:rPr>
          <w:rFonts w:ascii="Arial" w:cs="Arial" w:eastAsia="Arial" w:hAnsi="Arial"/>
          <w:sz w:val="24"/>
          <w:szCs w:val="24"/>
        </w:rPr>
        <w:t xml:space="preserve"> - место для разгрузки нефтепродуктов из железнодорожных цистерн (резервуаров) в цистерны;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бензины моторные, специальные, легкие и средние дистилляты, прочие бензины и дистилляты, классифицируемые в товарных позициях ТН ВЭД 271012110-271012900, 2710191100-2710191500, 2710192500,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 имеющими документ оценки соответствия;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информационная система "Электронная товаротранспортная накладная" (далее - ИС ЭТТН)</w:t>
      </w:r>
      <w:r>
        <w:rPr>
          <w:rFonts w:ascii="Arial" w:cs="Arial" w:eastAsia="Arial" w:hAnsi="Arial"/>
          <w:sz w:val="24"/>
          <w:szCs w:val="24"/>
        </w:rPr>
        <w:t xml:space="preserve"> - информационная система налогового администрирования Кыргызской Республики, используемая налогоплательщиками и уполномоченным налоговым органом;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нефтебаза</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нефти, нефтепродуктов;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нефтеперерабатывающий завод</w:t>
      </w:r>
      <w:r>
        <w:rPr>
          <w:rFonts w:ascii="Arial" w:cs="Arial" w:eastAsia="Arial" w:hAnsi="Arial"/>
          <w:sz w:val="24"/>
          <w:szCs w:val="24"/>
        </w:rPr>
        <w:t xml:space="preserve"> - промышленное предприятие, основной функцией которого является переработка нефти в бензин, авиационный керосин, мазут, дизельное топливо, смазочные масла, смазки, битумы, газы, сырье для нефтехимии;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нефтепродукты</w:t>
      </w:r>
      <w:r>
        <w:rPr>
          <w:rFonts w:ascii="Arial" w:cs="Arial" w:eastAsia="Arial" w:hAnsi="Arial"/>
          <w:sz w:val="24"/>
          <w:szCs w:val="24"/>
        </w:rPr>
        <w:t xml:space="preserve"> - продукты и компоненты, полученные в результате переработки сырой нефти и газа путем термокаталитического и нефтехимического синтеза и другими методами, по своим физико-химическим показателям соответствующие требованиям действующих межгосударственных стандартов (ГОСТ) и технических регламентов Евразийского экономического союза (далее - ЕАЭС);</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нефтехранилище</w:t>
      </w:r>
      <w:r>
        <w:rPr>
          <w:rFonts w:ascii="Arial" w:cs="Arial" w:eastAsia="Arial" w:hAnsi="Arial"/>
          <w:sz w:val="24"/>
          <w:szCs w:val="24"/>
        </w:rPr>
        <w:t xml:space="preserve"> - резервуар или система резервуаров для хранения нефти или продуктов ее переработки;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нефть</w:t>
      </w:r>
      <w:r>
        <w:rPr>
          <w:rFonts w:ascii="Arial" w:cs="Arial" w:eastAsia="Arial" w:hAnsi="Arial"/>
          <w:sz w:val="24"/>
          <w:szCs w:val="24"/>
        </w:rPr>
        <w:t xml:space="preserve"> - сырая нефть, а также углеводороды, полученные после очистки сырой нефти, переработки горючих сланцев и битуминозных пород;</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нефтяная скважина</w:t>
      </w:r>
      <w:r>
        <w:rPr>
          <w:rFonts w:ascii="Arial" w:cs="Arial" w:eastAsia="Arial" w:hAnsi="Arial"/>
          <w:sz w:val="24"/>
          <w:szCs w:val="24"/>
        </w:rPr>
        <w:t xml:space="preserve"> - горная выработка круглого сечения, предназначенная для добычи нефти;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оборудование по фиксации информации об отпуске продукции</w:t>
      </w:r>
      <w:r>
        <w:rPr>
          <w:rFonts w:ascii="Arial" w:cs="Arial" w:eastAsia="Arial" w:hAnsi="Arial"/>
          <w:sz w:val="24"/>
          <w:szCs w:val="24"/>
        </w:rPr>
        <w:t xml:space="preserve"> - оборудование, передающее информацию через Интернет посредством программного обеспечения (блок сопряжения);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партия нефтепродукта</w:t>
      </w:r>
      <w:r>
        <w:rPr>
          <w:rFonts w:ascii="Arial" w:cs="Arial" w:eastAsia="Arial" w:hAnsi="Arial"/>
          <w:sz w:val="24"/>
          <w:szCs w:val="24"/>
        </w:rPr>
        <w:t xml:space="preserve"> - количество нефтепродукта одной марки, сопровождаемое одним документом о качестве (паспортом);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паспорт качества</w:t>
      </w:r>
      <w:r>
        <w:rPr>
          <w:rFonts w:ascii="Arial" w:cs="Arial" w:eastAsia="Arial" w:hAnsi="Arial"/>
          <w:sz w:val="24"/>
          <w:szCs w:val="24"/>
        </w:rPr>
        <w:t xml:space="preserve"> - документ, устанавливающий соответствие численных значений показателей качества нефтепродукта, полученных в результате лабораторных испытаний, значениям, указанным в нормативном документе на данную марку нефтепродукта;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подакцизные нефтепродукты</w:t>
      </w:r>
      <w:r>
        <w:rPr>
          <w:rFonts w:ascii="Arial" w:cs="Arial" w:eastAsia="Arial" w:hAnsi="Arial"/>
          <w:sz w:val="24"/>
          <w:szCs w:val="24"/>
        </w:rPr>
        <w:t xml:space="preserve"> - нефтепродукты, включенные в классификатор ТН ВЭД ЕАЭС в Кыргызской Республике, реализация которых является объектом налогообложения по акцизам;</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потребитель</w:t>
      </w:r>
      <w:r>
        <w:rPr>
          <w:rFonts w:ascii="Arial" w:cs="Arial" w:eastAsia="Arial" w:hAnsi="Arial"/>
          <w:sz w:val="24"/>
          <w:szCs w:val="24"/>
        </w:rPr>
        <w:t xml:space="preserve"> - покупатель нефти, газа и продуктов их переработки непосредственно у производящей организации или на рынке;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резервуар</w:t>
      </w:r>
      <w:r>
        <w:rPr>
          <w:rFonts w:ascii="Arial" w:cs="Arial" w:eastAsia="Arial" w:hAnsi="Arial"/>
          <w:sz w:val="24"/>
          <w:szCs w:val="24"/>
        </w:rPr>
        <w:t xml:space="preserve"> - стационарная емкость для хранения жидкостей и газов;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сырая нефть</w:t>
      </w:r>
      <w:r>
        <w:rPr>
          <w:rFonts w:ascii="Arial" w:cs="Arial" w:eastAsia="Arial" w:hAnsi="Arial"/>
          <w:sz w:val="24"/>
          <w:szCs w:val="24"/>
        </w:rPr>
        <w:t xml:space="preserve"> - любые углеводороды независимо от их удельного веса, извлекаемые из недр в жидком состоянии при нормальной атмосферной температуре и давлении, включая жидкие углеводороды, известные под названием дистиллята (газоконденсата) или конденсата, образованные из природного газа путем естественной конденсации;</w:t>
      </w:r>
    </w:p>
    <w:p>
      <w:pPr>
        <w:spacing w:after="60"/>
        <w:ind w:firstLine="567"/>
        <w:jc w:val="both"/>
      </w:pPr>
      <w:r>
        <w:rPr>
          <w:rFonts w:ascii="Arial" w:cs="Arial" w:eastAsia="Arial" w:hAnsi="Arial"/>
          <w:sz w:val="24"/>
          <w:szCs w:val="24"/>
        </w:rPr>
        <w:t xml:space="preserve">24)</w:t>
      </w:r>
      <w:r>
        <w:rPr>
          <w:rFonts w:ascii="Arial" w:cs="Arial" w:eastAsia="Arial" w:hAnsi="Arial"/>
          <w:b/>
          <w:bCs/>
          <w:sz w:val="24"/>
          <w:szCs w:val="24"/>
        </w:rPr>
        <w:t xml:space="preserve"> топливораздаточная колонка (далее – ТРК</w:t>
      </w:r>
      <w:r>
        <w:rPr>
          <w:rFonts w:ascii="Arial" w:cs="Arial" w:eastAsia="Arial" w:hAnsi="Arial"/>
          <w:sz w:val="24"/>
          <w:szCs w:val="24"/>
        </w:rPr>
        <w:t xml:space="preserve">) – колонка на автозаправочной станции, автомобильной газозаправочной станции и автомобильной газонаполнительной компрессорной станции по заправке автомашин нефтепродуктами;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транспортировка</w:t>
      </w:r>
      <w:r>
        <w:rPr>
          <w:rFonts w:ascii="Arial" w:cs="Arial" w:eastAsia="Arial" w:hAnsi="Arial"/>
          <w:sz w:val="24"/>
          <w:szCs w:val="24"/>
        </w:rPr>
        <w:t xml:space="preserve"> - передача, распределение нефти, газа и продуктов их переработки на определенные расстояния по трубопроводам, другими видами транспорта от места их добычи до места их хранения и переработки, а также от места их переработки до потребителя;</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трубопровод</w:t>
      </w:r>
      <w:r>
        <w:rPr>
          <w:rFonts w:ascii="Arial" w:cs="Arial" w:eastAsia="Arial" w:hAnsi="Arial"/>
          <w:sz w:val="24"/>
          <w:szCs w:val="24"/>
        </w:rPr>
        <w:t xml:space="preserve"> - трубы любого диаметра под или над землей, предназначенные для транспортировки нефти, газа и продуктов их переработки;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цистерна</w:t>
      </w:r>
      <w:r>
        <w:rPr>
          <w:rFonts w:ascii="Arial" w:cs="Arial" w:eastAsia="Arial" w:hAnsi="Arial"/>
          <w:sz w:val="24"/>
          <w:szCs w:val="24"/>
        </w:rPr>
        <w:t xml:space="preserve"> - закрытое сооружение (емкость) для хранения или транспортировки жидкостей, сжиженных газов;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электронная товаротранспортная накладная (далее - ЭТТН)</w:t>
      </w:r>
      <w:r>
        <w:rPr>
          <w:rFonts w:ascii="Arial" w:cs="Arial" w:eastAsia="Arial" w:hAnsi="Arial"/>
          <w:sz w:val="24"/>
          <w:szCs w:val="24"/>
        </w:rPr>
        <w:t xml:space="preserve"> - документ, оформляемый участником электронного документооборота при обороте товаров посредством ИС ЭТТН, по форме, утверждаемой уполномоченным налоговым органом.</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_-qlvxfen27iixfix1-7e">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Добыча, ввоз, производство, переработка, передвижение, хранение, отгрузка и реализация нефти и нефтепродуктов осуществляются в соответствии с настоящим Положением. К нефти и нефтепродуктам относятся товары, указанные в таблице к настоящему Положению.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w:t>
      </w:r>
    </w:p>
    <w:p>
      <w:pPr>
        <w:spacing w:after="20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7mh6ffe9m0qh10vcfwqeq">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7188"/>
        <w:gridCol w:w="2467"/>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1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24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r>
              <w:rPr>
                <w:rFonts w:ascii="Arial" w:cs="Arial" w:eastAsia="Arial" w:hAnsi="Arial"/>
                <w:sz w:val="24"/>
                <w:szCs w:val="24"/>
              </w:rPr>
              <w:t xml:space="preserve">нефть сырая и нефтепродукты сырые,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1 -
 2709 00 900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r>
              <w:rPr>
                <w:rFonts w:ascii="Arial" w:cs="Arial" w:eastAsia="Arial" w:hAnsi="Arial"/>
                <w:sz w:val="24"/>
                <w:szCs w:val="24"/>
              </w:rPr>
              <w:t xml:space="preserve">бензин автомобильный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12 110 -
 2710 12 900 8;</w:t>
            </w:r>
            <w:r>
              <w:rPr>
                <w:rFonts w:ascii="Arial" w:cs="Arial" w:eastAsia="Arial" w:hAnsi="Arial"/>
                <w:sz w:val="24"/>
                <w:szCs w:val="24"/>
              </w:rPr>
              <w:t xml:space="preserve">2710 19 110 0 -
 2710 19 150 0;</w:t>
            </w:r>
            <w:r>
              <w:rPr>
                <w:rFonts w:ascii="Arial" w:cs="Arial" w:eastAsia="Arial" w:hAnsi="Arial"/>
                <w:sz w:val="24"/>
                <w:szCs w:val="24"/>
              </w:rPr>
              <w:t xml:space="preserve"> 2710 19 250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19 290 0;</w:t>
            </w:r>
            <w:r>
              <w:rPr>
                <w:rFonts w:ascii="Arial" w:cs="Arial" w:eastAsia="Arial" w:hAnsi="Arial"/>
                <w:sz w:val="24"/>
                <w:szCs w:val="24"/>
              </w:rPr>
              <w:t xml:space="preserve">2710 19 310 0 -
 2710 19 480 0;</w:t>
            </w:r>
            <w:r>
              <w:rPr>
                <w:rFonts w:ascii="Arial" w:cs="Arial" w:eastAsia="Arial" w:hAnsi="Arial"/>
                <w:sz w:val="24"/>
                <w:szCs w:val="24"/>
              </w:rPr>
              <w:t xml:space="preserve">2710 20 110 0 -
 2710 20 190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19 510 -
 2710 19 680 9;</w:t>
            </w:r>
            <w:r>
              <w:rPr>
                <w:rFonts w:ascii="Arial" w:cs="Arial" w:eastAsia="Arial" w:hAnsi="Arial"/>
                <w:sz w:val="24"/>
                <w:szCs w:val="24"/>
              </w:rPr>
              <w:t xml:space="preserve">2710 20 310 1 -
 2710 20 390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природный газ для использования в качестве топлива для автотранспортных средств (метан)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2711 21 000 0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нефтяной газ и сжиженный углеводородный газ для использования в качестве топлива для автотранспортных средств (пропан)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 0-</w:t>
            </w:r>
            <w:r>
              <w:rPr>
                <w:rFonts w:ascii="Arial" w:cs="Arial" w:eastAsia="Arial" w:hAnsi="Arial"/>
                <w:sz w:val="24"/>
                <w:szCs w:val="24"/>
              </w:rPr>
              <w:t xml:space="preserve">2711 19 000 0;</w:t>
            </w:r>
            <w:r>
              <w:rPr>
                <w:rFonts w:ascii="Arial" w:cs="Arial" w:eastAsia="Arial" w:hAnsi="Arial"/>
                <w:sz w:val="24"/>
                <w:szCs w:val="24"/>
              </w:rPr>
              <w:t xml:space="preserve">2901 10 000 1</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этанольные топлива для двигателей с принудительным зажиганием</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2710 12 419 0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r>
              <w:rPr>
                <w:rFonts w:ascii="Arial" w:cs="Arial" w:eastAsia="Arial" w:hAnsi="Arial"/>
                <w:sz w:val="24"/>
                <w:szCs w:val="24"/>
              </w:rPr>
              <w:t xml:space="preserve">2707 99 110 0 -
 2707 99 990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или более нефти или нефтепродуктов, полученных из битуминозных пород, причем эти нефтепродукты являются основными составляющими продуктов, содержащих биодизель, за исключением отработанных нефтепродуктов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w:t>
            </w:r>
            <w:r>
              <w:rPr>
                <w:rFonts w:ascii="Arial" w:cs="Arial" w:eastAsia="Arial" w:hAnsi="Arial"/>
                <w:sz w:val="24"/>
                <w:szCs w:val="24"/>
              </w:rPr>
              <w:t xml:space="preserve">2710 12 150 9;</w:t>
            </w:r>
            <w:r>
              <w:rPr>
                <w:rFonts w:ascii="Arial" w:cs="Arial" w:eastAsia="Arial" w:hAnsi="Arial"/>
                <w:sz w:val="24"/>
                <w:szCs w:val="24"/>
              </w:rPr>
              <w:t xml:space="preserve">2710 12 250;</w:t>
            </w:r>
            <w:r>
              <w:rPr>
                <w:rFonts w:ascii="Arial" w:cs="Arial" w:eastAsia="Arial" w:hAnsi="Arial"/>
                <w:sz w:val="24"/>
                <w:szCs w:val="24"/>
              </w:rPr>
              <w:t xml:space="preserve">2710 12 900;</w:t>
            </w:r>
            <w:r>
              <w:rPr>
                <w:rFonts w:ascii="Arial" w:cs="Arial" w:eastAsia="Arial" w:hAnsi="Arial"/>
                <w:sz w:val="24"/>
                <w:szCs w:val="24"/>
              </w:rPr>
              <w:t xml:space="preserve">2710 19;</w:t>
            </w:r>
            <w:r>
              <w:rPr>
                <w:rFonts w:ascii="Arial" w:cs="Arial" w:eastAsia="Arial" w:hAnsi="Arial"/>
                <w:sz w:val="24"/>
                <w:szCs w:val="24"/>
              </w:rPr>
              <w:t xml:space="preserve">3826 00 900 0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0 -
 2710 19 980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нефтяные и углеводороды газообразные прочие (композит газовый стабильный)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11 100 0 -
 3811 11 900 0;</w:t>
            </w:r>
            <w:r>
              <w:rPr>
                <w:rFonts w:ascii="Arial" w:cs="Arial" w:eastAsia="Arial" w:hAnsi="Arial"/>
                <w:sz w:val="24"/>
                <w:szCs w:val="24"/>
              </w:rPr>
              <w:t xml:space="preserve">3811 19 000 0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r>
              <w:rPr>
                <w:rFonts w:ascii="Arial" w:cs="Arial" w:eastAsia="Arial" w:hAnsi="Arial"/>
                <w:sz w:val="24"/>
                <w:szCs w:val="24"/>
              </w:rPr>
              <w:t xml:space="preserve">3811 29 000 0;</w:t>
            </w:r>
            <w:r>
              <w:rPr>
                <w:rFonts w:ascii="Arial" w:cs="Arial" w:eastAsia="Arial" w:hAnsi="Arial"/>
                <w:sz w:val="24"/>
                <w:szCs w:val="24"/>
              </w:rPr>
              <w:t xml:space="preserve">3811 90 000 0</w:t>
            </w:r>
          </w:p>
        </w:tc>
      </w:tr>
    </w:tbl>
    <w:p>
      <w:pPr>
        <w:spacing w:after="60" w:before="120"/>
        <w:ind w:firstLine="567"/>
        <w:jc w:val="both"/>
      </w:pPr>
      <w:r>
        <w:rPr>
          <w:rFonts w:ascii="Arial" w:cs="Arial" w:eastAsia="Arial" w:hAnsi="Arial"/>
          <w:sz w:val="24"/>
          <w:szCs w:val="24"/>
        </w:rPr>
        <w:t xml:space="preserve">4. Для реализации нефтепродуктов на территории Кыргызской Республики устанавливаются следующие требования:</w:t>
      </w:r>
    </w:p>
    <w:p>
      <w:pPr>
        <w:spacing w:after="60"/>
        <w:ind w:firstLine="567"/>
        <w:jc w:val="both"/>
      </w:pPr>
      <w:r>
        <w:rPr>
          <w:rFonts w:ascii="Arial" w:cs="Arial" w:eastAsia="Arial" w:hAnsi="Arial"/>
          <w:sz w:val="24"/>
          <w:szCs w:val="24"/>
        </w:rPr>
        <w:t xml:space="preserve">1) оптовая продажа осуществляется исключительно при условии владения на праве собственности или иных законных основаниях базой нефтепродуктов или резервуаров. Оптовой продаже подлежат только нефть и нефтепродукты, включенные в таблицу настоящего Положения и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наличием маркировки топлива в отношении бензина и дизельного топлива.</w:t>
      </w:r>
    </w:p>
    <w:p>
      <w:pPr>
        <w:spacing w:after="60"/>
        <w:ind w:firstLine="567"/>
        <w:jc w:val="both"/>
      </w:pPr>
      <w:r>
        <w:rPr>
          <w:rFonts w:ascii="Arial" w:cs="Arial" w:eastAsia="Arial" w:hAnsi="Arial"/>
          <w:sz w:val="24"/>
          <w:szCs w:val="24"/>
        </w:rPr>
        <w:t xml:space="preserve">Каждая партия нефтепродуктов при оптовой (мелкооптовой) продаже должна иметь паспорт продукции. Паспорт продукции, выдаваемый изготовителем или продавцом (на предприятиях, осуществляющих хранение готовой к реализации продукции), содержит наименование и марку продукции, сведения об изготовителе (продавце) продукции, включая его адрес, нормативные значения характеристик для данного вида продукции, фактические значения этих характеристик, определенные по результатам испытаний, дату отбора проб, номер резервуара (номер партии), из которого данная проба отобрана, дату изготовления продукции, дату проведения анализа продукции, а также сведения о наличии (наименование и содержание) или отсутствии в продукции присадок;</w:t>
      </w:r>
    </w:p>
    <w:p>
      <w:pPr>
        <w:spacing w:after="60"/>
        <w:ind w:firstLine="567"/>
        <w:jc w:val="both"/>
      </w:pPr>
      <w:r>
        <w:rPr>
          <w:rFonts w:ascii="Arial" w:cs="Arial" w:eastAsia="Arial" w:hAnsi="Arial"/>
          <w:sz w:val="24"/>
          <w:szCs w:val="24"/>
        </w:rPr>
        <w:t xml:space="preserve">2) розничная продажа осуществляется только на АЗС, автомобильной газозаправочной станции и автомобильной газонаполнительной компрессорной станции при условии обеспечения их контрольно-кассовыми машинами с функцией печати на контрольно-кассовом чеке информации о реализуемом топливе (наименование, код ТН ВЭД ЕАЭС, количество, цена за 1 литр, итоговая сумма) и ее передачи в режиме реального времени в уполномоченный налоговый орган, оборудованием (колонками) и АСУ. Реализации на АЗС, автомобильной газозаправочной станции и автомобильной газонаполнительной компрессорной станции подлежат только нефтепродукты, указанные в строках 2, 4, 6, 7 и 8 таблицы настоящего Положения, а также другие подакцизные нефтепродукты,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имеющую маркировку топлива в отношении бензина и дизельного топлива.</w:t>
      </w:r>
    </w:p>
    <w:p>
      <w:pPr>
        <w:spacing w:after="60"/>
        <w:ind w:firstLine="567"/>
        <w:jc w:val="both"/>
      </w:pPr>
      <w:r>
        <w:rPr>
          <w:rFonts w:ascii="Arial" w:cs="Arial" w:eastAsia="Arial" w:hAnsi="Arial"/>
          <w:sz w:val="24"/>
          <w:szCs w:val="24"/>
        </w:rPr>
        <w:t xml:space="preserve">5. Для контроля ввоза/импорта сжиженного углеводородного газа на газохранилищах в обязательном порядке устанавливаются приборы учета поступающего газа, сертифицированные органами сертификации, с ежемесячным предоставлением показателей органам налоговой службы.</w:t>
      </w:r>
    </w:p>
    <w:p>
      <w:pPr>
        <w:spacing w:after="60"/>
        <w:ind w:firstLine="567"/>
        <w:jc w:val="both"/>
      </w:pPr>
      <w:r>
        <w:rPr>
          <w:rFonts w:ascii="Arial" w:cs="Arial" w:eastAsia="Arial" w:hAnsi="Arial"/>
          <w:sz w:val="24"/>
          <w:szCs w:val="24"/>
        </w:rPr>
        <w:t xml:space="preserve">6. Для контроля оборота нефтепродуктов на территории Кыргызской Республики при ввозе, отгрузке, перемещении и реализации нефти и нефтепродуктов в обязательном порядке применяются ЭТТН, а также проверяется наличие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7. Отпуск нефти и нефтепродуктов в цистернах с нефтяных скважин, нефтеперерабатывающих заводов, нефтебаз, нефтехранилищ, железнодорожных сливных тупиков и прием-отпуск на нефтеперерабатывающие заводы, нефтехранилища, нефтебазы, АЗС и автомобильные газозаправочные станции должен сопровождаться с обязательным заполнением ЭТТН, а также наличием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В случае несоблюдения условий хранения, перевозки и реализации нефтепродуктов, а также требований маркировки топлива к субъектам предпринимательства применяются меры ответственности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Субъекты предпринимательства обеспечивают ежемесячную передачу сведений об остатках, отгруженных объемах нефти и нефтепродуктов, а также показателей счетных механизмов ТРК в информационную систему уполномоченного налогового органа.</w:t>
      </w:r>
    </w:p>
    <w:p>
      <w:pPr>
        <w:spacing w:after="120"/>
        <w:ind w:firstLine="709"/>
        <w:jc w:val="both"/>
      </w:pPr>
      <w:r>
        <w:rPr>
          <w:rFonts w:ascii="Arial" w:cs="Arial" w:eastAsia="Arial" w:hAnsi="Arial"/>
          <w:sz w:val="24"/>
          <w:szCs w:val="24"/>
        </w:rPr>
        <w:t xml:space="preserve">Порядок передачи данных об остатках, отгруженных объемах нефти и нефтепродуктов, а также показателей счетных механизмов ТРК утверждается уполномоченным налоговым органом.</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zfyz_43cvy39zdw9ld6p6">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 Условия оснащения и ввода в эксплуатацию АСУ</w:t>
      </w:r>
    </w:p>
    <w:p>
      <w:pPr>
        <w:spacing w:after="60"/>
        <w:ind w:firstLine="567"/>
        <w:jc w:val="both"/>
      </w:pPr>
      <w:r>
        <w:rPr>
          <w:rFonts w:ascii="Arial" w:cs="Arial" w:eastAsia="Arial" w:hAnsi="Arial"/>
          <w:sz w:val="24"/>
          <w:szCs w:val="24"/>
        </w:rPr>
        <w:t xml:space="preserve">8. Субъект предпринимательства, осуществляющий ввоз, хранение, производство и реализацию нефтепродуктов (далее - субъект предпринимательства), обязан внедрить АСУ.</w:t>
      </w:r>
    </w:p>
    <w:p>
      <w:pPr>
        <w:spacing w:after="60"/>
        <w:ind w:firstLine="567"/>
        <w:jc w:val="both"/>
      </w:pPr>
      <w:r>
        <w:rPr>
          <w:rFonts w:ascii="Arial" w:cs="Arial" w:eastAsia="Arial" w:hAnsi="Arial"/>
          <w:sz w:val="24"/>
          <w:szCs w:val="24"/>
        </w:rPr>
        <w:t xml:space="preserve">9. АСУ и оборудование по фиксации информации об отпуске продукции, соответствующие техническим требованиям, закупаются и устанавливаются субъектом предпринимательства самостоятельно.</w:t>
      </w:r>
    </w:p>
    <w:p>
      <w:pPr>
        <w:spacing w:after="60"/>
        <w:ind w:firstLine="567"/>
        <w:jc w:val="both"/>
      </w:pPr>
      <w:r>
        <w:rPr>
          <w:rFonts w:ascii="Arial" w:cs="Arial" w:eastAsia="Arial" w:hAnsi="Arial"/>
          <w:sz w:val="24"/>
          <w:szCs w:val="24"/>
        </w:rPr>
        <w:t xml:space="preserve">10. Оснащение АСУ оборудованием по фиксации информации об отпуске продукции и их обслуживание осуществляются субъектом предпринимательства.</w:t>
      </w:r>
    </w:p>
    <w:p>
      <w:pPr>
        <w:spacing w:after="60"/>
        <w:ind w:firstLine="567"/>
        <w:jc w:val="both"/>
      </w:pPr>
      <w:r>
        <w:rPr>
          <w:rFonts w:ascii="Arial" w:cs="Arial" w:eastAsia="Arial" w:hAnsi="Arial"/>
          <w:sz w:val="24"/>
          <w:szCs w:val="24"/>
        </w:rPr>
        <w:t xml:space="preserve">11. Субъект предпринимательства проводит процедуру сертификации АСУ в добровольном порядке.</w:t>
      </w:r>
    </w:p>
    <w:p>
      <w:pPr>
        <w:spacing w:after="60"/>
        <w:ind w:firstLine="567"/>
        <w:jc w:val="both"/>
      </w:pPr>
      <w:r>
        <w:rPr>
          <w:rFonts w:ascii="Arial" w:cs="Arial" w:eastAsia="Arial" w:hAnsi="Arial"/>
          <w:sz w:val="24"/>
          <w:szCs w:val="24"/>
        </w:rPr>
        <w:t xml:space="preserve">12. Уполномоченный налоговый орган образовывает территориальные межведомственные комиссии в составе уполномоченного государственного органа по связи, уполномоченного государственного органа по стандартизации и метрологии и уполномоченного государственного органа, осуществляющего государственный надзор и контроль по вопросам экологической и технической безопасности, для проведения функциональной сверки установленной субъектом предпринимательства АСУ на соответствие требованиям к взаимодействию АСУ и контрольно-кассовой машины.</w:t>
      </w:r>
    </w:p>
    <w:p>
      <w:pPr>
        <w:spacing w:after="60"/>
        <w:ind w:firstLine="567"/>
        <w:jc w:val="both"/>
      </w:pPr>
      <w:r>
        <w:rPr>
          <w:rFonts w:ascii="Arial" w:cs="Arial" w:eastAsia="Arial" w:hAnsi="Arial"/>
          <w:sz w:val="24"/>
          <w:szCs w:val="24"/>
        </w:rPr>
        <w:t xml:space="preserve">13. В случае необеспечения исполнения пункта 8 настоящего Положения или функционального несоответствия требованиям взаимодействия АСУ и контрольно-кассовой машины субъекту предпринимательства запрещается производить розничную продажу нефтепродуктов с АЗС, автомобильной газозаправочной станции и автомобильной газонаполнительной компрессорной станции.</w:t>
      </w:r>
    </w:p>
    <w:p>
      <w:pPr>
        <w:spacing w:after="200" w:before="200"/>
        <w:jc w:val="center"/>
      </w:pPr>
      <w:r>
        <w:rPr>
          <w:rFonts w:ascii="Arial" w:cs="Arial" w:eastAsia="Arial" w:hAnsi="Arial"/>
          <w:b/>
          <w:bCs/>
          <w:sz w:val="32"/>
          <w:szCs w:val="32"/>
        </w:rPr>
        <w:t xml:space="preserve">Глава 3. Учет ввоза/импорта нефти и нефтепродуктов</w:t>
      </w:r>
    </w:p>
    <w:p>
      <w:pPr>
        <w:spacing w:after="60"/>
        <w:ind w:firstLine="567"/>
        <w:jc w:val="both"/>
      </w:pPr>
      <w:r>
        <w:rPr>
          <w:rFonts w:ascii="Arial" w:cs="Arial" w:eastAsia="Arial" w:hAnsi="Arial"/>
          <w:sz w:val="24"/>
          <w:szCs w:val="24"/>
        </w:rPr>
        <w:t xml:space="preserve">14. В целях контроля налогоплательщика, осуществляющего ввоз товаров на территорию Кыргызской Республики, оператор маркировки топлива совместно с сотрудником налогового органа производит инспекцию ввозимых/импортируемых нефтепродуктов на соответствие сопроводительным документам.</w:t>
      </w:r>
    </w:p>
    <w:p>
      <w:pPr>
        <w:spacing w:after="60"/>
        <w:ind w:firstLine="567"/>
        <w:jc w:val="both"/>
      </w:pPr>
      <w:r>
        <w:rPr>
          <w:rFonts w:ascii="Arial" w:cs="Arial" w:eastAsia="Arial" w:hAnsi="Arial"/>
          <w:sz w:val="24"/>
          <w:szCs w:val="24"/>
        </w:rPr>
        <w:t xml:space="preserve">15. Оператор маркировки топлива совместно с сотрудником налогового органа при ввозе налогоплательщиком нефти или нефтепродуктов на территорию Кыргызской Республики железнодорожным транспортом производят проверку наличия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16. Оператор маркировки топлива совместно с сотрудником налогового органа при ввозе субъектом нефти или нефтепродуктов на территорию Кыргызской Республики автотранспортным средством производят проверку наличия международной транспортной накладной (CMR),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17. В случае наличия и соответствия документов, указанных в пункте 16 настоящего Положения, оператор маркировки топлива маркирует бензин или дизель на основании решения уполномоченного налогового органа.</w:t>
      </w:r>
    </w:p>
    <w:p>
      <w:pPr>
        <w:spacing w:after="120"/>
        <w:ind w:firstLine="709"/>
        <w:jc w:val="both"/>
      </w:pPr>
      <w:r>
        <w:rPr>
          <w:rFonts w:ascii="Arial" w:cs="Arial" w:eastAsia="Arial" w:hAnsi="Arial"/>
          <w:sz w:val="24"/>
          <w:szCs w:val="24"/>
        </w:rPr>
        <w:t xml:space="preserve">18. В целях контроля оборота нефти и нефтепродуктов сотрудники территориального налогового органа ежемесячно осуществляют снятие остатков нефтепродуктов в емкостях нефтеперерабатывающего завода, нефтяной скважины, нефтебазы, нефтехранилища, железнодорожного сливного тупика, АЗС, автомобильной газозаправочной станции и показаний со счетных механизмов ТРК АЗС, автомобильной газозаправочной станции и автомобильной газонаполнительной компрессорной станции на предмет соответствия записей в информационной системе уполномоченного налогового органа.</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js9hva5wzhq-aruueflqs">
        <w:r>
          <w:rPr>
            <w:rFonts w:ascii="Arial" w:cs="Arial" w:eastAsia="Arial" w:hAnsi="Arial"/>
            <w:i/>
            <w:iCs/>
            <w:color w:val="1D4ED8"/>
            <w:sz w:val="24"/>
            <w:szCs w:val="24"/>
            <w:u w:val="single"/>
          </w:rPr>
          <w:t xml:space="preserve">3 сентября 2025 года № 555</w:t>
        </w:r>
      </w:hyperlink>
      <w:r>
        <w:rPr>
          <w:rFonts w:ascii="Arial" w:cs="Arial" w:eastAsia="Arial" w:hAnsi="Arial"/>
          <w:i/>
          <w:iCs/>
          <w:sz w:val="24"/>
          <w:szCs w:val="24"/>
        </w:rPr>
        <w:t xml:space="preserve">)</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9zgbzpgfvbtjvyu1tyom" Type="http://schemas.openxmlformats.org/officeDocument/2006/relationships/hyperlink" Target="http://kodeks.duckdns.org/document/159151" TargetMode="External"/><Relationship Id="rIdb2m88fgjgpikynvcusegq" Type="http://schemas.openxmlformats.org/officeDocument/2006/relationships/hyperlink" Target="http://kodeks.duckdns.org/document/230011268" TargetMode="External"/><Relationship Id="rIdjd-dp35fxpaghsx5vuy8y" Type="http://schemas.openxmlformats.org/officeDocument/2006/relationships/hyperlink" Target="http://kodeks.duckdns.org/document/230030881" TargetMode="External"/><Relationship Id="rId_-qlvxfen27iixfix1-7e" Type="http://schemas.openxmlformats.org/officeDocument/2006/relationships/hyperlink" Target="http://kodeks.duckdns.org/document/230030881" TargetMode="External"/><Relationship Id="rId7mh6ffe9m0qh10vcfwqeq" Type="http://schemas.openxmlformats.org/officeDocument/2006/relationships/hyperlink" Target="http://kodeks.duckdns.org/document/230030881" TargetMode="External"/><Relationship Id="rIdzfyz_43cvy39zdw9ld6p6" Type="http://schemas.openxmlformats.org/officeDocument/2006/relationships/hyperlink" Target="http://kodeks.duckdns.org/document/230030881" TargetMode="External"/><Relationship Id="rIdjs9hva5wzhq-aruueflqs" Type="http://schemas.openxmlformats.org/officeDocument/2006/relationships/hyperlink" Target="http://kodeks.duckdns.org/document/230030881"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2026-09-23T09:21:43.453Z</dcterms:created>
  <dcterms:modified xsi:type="dcterms:W3CDTF">2026-09-23T09:21:43.453Z</dcterms:modified>
</cp:coreProperties>
</file>

<file path=docProps/custom.xml><?xml version="1.0" encoding="utf-8"?>
<Properties xmlns="http://schemas.openxmlformats.org/officeDocument/2006/custom-properties" xmlns:vt="http://schemas.openxmlformats.org/officeDocument/2006/docPropsVTypes"/>
</file>