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r>
        <w:rPr>
          <w:rFonts w:ascii="Arial" w:cs="Arial" w:eastAsia="Arial" w:hAnsi="Arial"/>
          <w:sz w:val="32"/>
          <w:szCs w:val="32"/>
        </w:rPr>
        <w:t xml:space="preserve"> </w:t>
      </w:r>
    </w:p>
    <w:p>
      <w:pPr>
        <w:spacing w:after="240"/>
        <w:jc w:val="both"/>
      </w:pPr>
      <w:r>
        <w:rPr>
          <w:rFonts w:ascii="Arial" w:cs="Arial" w:eastAsia="Arial" w:hAnsi="Arial"/>
          <w:sz w:val="24"/>
          <w:szCs w:val="24"/>
        </w:rPr>
        <w:t xml:space="preserve">от 25 июля 2024 года № 423</w:t>
      </w:r>
    </w:p>
    <w:p>
      <w:pPr>
        <w:spacing w:after="400" w:before="400"/>
        <w:jc w:val="center"/>
      </w:pPr>
      <w:r>
        <w:rPr>
          <w:rFonts w:ascii="Arial" w:cs="Arial" w:eastAsia="Arial" w:hAnsi="Arial"/>
          <w:b/>
          <w:bCs/>
          <w:sz w:val="28"/>
          <w:szCs w:val="28"/>
        </w:rPr>
        <w:t xml:space="preserve">О некоторых вопросах Национального института стратегических инициатив при Президенте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y2g3a7y-oun9o6mwjkhoo">
        <w:r>
          <w:rPr>
            <w:rFonts w:ascii="Arial" w:cs="Arial" w:eastAsia="Arial" w:hAnsi="Arial"/>
            <w:i/>
            <w:iCs/>
            <w:color w:val="1D4ED8"/>
            <w:sz w:val="24"/>
            <w:szCs w:val="24"/>
            <w:u w:val="single"/>
          </w:rPr>
          <w:t xml:space="preserve">5 июня 2026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w:t>
      </w:r>
      <w:hyperlink w:history="1" r:id="rIdyplqkko9bnjjvt6gneia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Национальном институте стратегических инициатив при Президенте Кыргызской Республики" от 12 апреля 2024 года № 94, в соответствии со </w:t>
      </w:r>
      <w:hyperlink w:history="1" r:id="rIddou2q8gya2lthtj97v_cn">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Закона Кыргызской Республики "О предельной штатной численности и об условиях оплаты труда государственных и муниципальных служащих Кыргызской Республики", статьями </w:t>
      </w:r>
      <w:hyperlink w:history="1" r:id="rIdq4ncwockuxkhlg0o9cpba">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fx6wza5qkx3rrupirsu5i">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Установить минимальную базовую ставку в размере 7040 сомов, являющуюся основанием для расчета должностных окладов сотрудников Национального института стратегических инициатив при Президенте Кыргызской Республики.</w:t>
      </w:r>
    </w:p>
    <w:p>
      <w:pPr>
        <w:spacing w:after="60"/>
        <w:ind w:firstLine="567"/>
        <w:jc w:val="both"/>
      </w:pPr>
      <w:r>
        <w:rPr>
          <w:rFonts w:ascii="Arial" w:cs="Arial" w:eastAsia="Arial" w:hAnsi="Arial"/>
          <w:sz w:val="24"/>
          <w:szCs w:val="24"/>
        </w:rPr>
        <w:t xml:space="preserve">2. Утвердить:</w:t>
      </w:r>
    </w:p>
    <w:p>
      <w:pPr>
        <w:spacing w:after="60"/>
        <w:ind w:firstLine="567"/>
        <w:jc w:val="both"/>
      </w:pPr>
      <w:r>
        <w:rPr>
          <w:rFonts w:ascii="Arial" w:cs="Arial" w:eastAsia="Arial" w:hAnsi="Arial"/>
          <w:sz w:val="24"/>
          <w:szCs w:val="24"/>
        </w:rPr>
        <w:t xml:space="preserve">1) коэффициенты кратности к должностным окладам, применяемые при определении размеров должностных окладов сотрудников Национального института стратегических инициатив при Президенте Кыргызской Республики согласно </w:t>
      </w:r>
      <w:hyperlink w:history="1" r:id="rIdsq-m2kfmxmuexliaanv4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размеры процентных надбавок за выслугу лет к должностным окладам сотрудников Национального института стратегических инициатив при Президенте Кыргызской Республики согласно </w:t>
      </w:r>
      <w:hyperlink w:history="1" r:id="rIdoxhfeersy_xzw9o9dj6zk">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Установить, что сотрудникам Национального института стратегических инициатив при Президенте Кыргызской Республики выплачиваются:</w:t>
      </w:r>
    </w:p>
    <w:p>
      <w:pPr>
        <w:spacing w:after="60"/>
        <w:ind w:firstLine="567"/>
        <w:jc w:val="both"/>
      </w:pPr>
      <w:r>
        <w:rPr>
          <w:rFonts w:ascii="Arial" w:cs="Arial" w:eastAsia="Arial" w:hAnsi="Arial"/>
          <w:sz w:val="24"/>
          <w:szCs w:val="24"/>
        </w:rPr>
        <w:t xml:space="preserve">1) надбавка за ученую степень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процентная надбавка за сложность, качество, результаты труда, проявление профессиональной инициативы, ненормированный режим работы до 50% к должностному окладу;</w:t>
      </w:r>
    </w:p>
    <w:p>
      <w:pPr>
        <w:spacing w:after="60"/>
        <w:ind w:firstLine="567"/>
        <w:jc w:val="both"/>
      </w:pPr>
      <w:r>
        <w:rPr>
          <w:rFonts w:ascii="Arial" w:cs="Arial" w:eastAsia="Arial" w:hAnsi="Arial"/>
          <w:sz w:val="24"/>
          <w:szCs w:val="24"/>
        </w:rPr>
        <w:t xml:space="preserve">3) процентная надбавка за выполнение особо важных и ответственных работ </w:t>
      </w:r>
      <w:r>
        <w:rPr>
          <w:rFonts w:ascii="Arial" w:cs="Arial" w:eastAsia="Arial" w:hAnsi="Arial"/>
          <w:sz w:val="24"/>
          <w:szCs w:val="24"/>
        </w:rPr>
        <w:t xml:space="preserve">в размере 100 %</w:t>
      </w:r>
      <w:r>
        <w:rPr>
          <w:rFonts w:ascii="Arial" w:cs="Arial" w:eastAsia="Arial" w:hAnsi="Arial"/>
          <w:sz w:val="24"/>
          <w:szCs w:val="24"/>
        </w:rPr>
        <w:t xml:space="preserve"> к должностному окладу;</w:t>
      </w:r>
    </w:p>
    <w:p>
      <w:pPr>
        <w:spacing w:after="60"/>
        <w:ind w:firstLine="567"/>
        <w:jc w:val="both"/>
      </w:pPr>
      <w:r>
        <w:rPr>
          <w:rFonts w:ascii="Arial" w:cs="Arial" w:eastAsia="Arial" w:hAnsi="Arial"/>
          <w:sz w:val="24"/>
          <w:szCs w:val="24"/>
        </w:rPr>
        <w:t xml:space="preserve">4) при выходе в отпуск пособие на оздоровление в размере двухмесячного фонда заработной платы.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acvqgnknr9rbnbut3ij4">
        <w:r>
          <w:rPr>
            <w:rFonts w:ascii="Arial" w:cs="Arial" w:eastAsia="Arial" w:hAnsi="Arial"/>
            <w:i/>
            <w:iCs/>
            <w:color w:val="1D4ED8"/>
            <w:sz w:val="24"/>
            <w:szCs w:val="24"/>
            <w:u w:val="single"/>
          </w:rPr>
          <w:t xml:space="preserve">5 июня 2026 года № 395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Условия оплаты труда технического обслуживающего персонала и младшего обслуживающего персонала регулируются согласно </w:t>
      </w:r>
      <w:hyperlink w:history="1" r:id="rId_noovyavf9jz8wpvok10x">
        <w:r>
          <w:rPr>
            <w:rFonts w:ascii="Arial" w:cs="Arial" w:eastAsia="Arial" w:hAnsi="Arial"/>
            <w:color w:val="1D4ED8"/>
            <w:sz w:val="24"/>
            <w:szCs w:val="24"/>
            <w:u w:val="single"/>
          </w:rPr>
          <w:t xml:space="preserve">постановлению </w:t>
        </w:r>
      </w:hyperlink>
      <w:r>
        <w:rPr>
          <w:rFonts w:ascii="Arial" w:cs="Arial" w:eastAsia="Arial" w:hAnsi="Arial"/>
          <w:sz w:val="24"/>
          <w:szCs w:val="24"/>
        </w:rPr>
        <w:t xml:space="preserve">Кабинета Министров Кыргызской Республики "Об условиях оплаты труда работников, занятых обслуживанием государственных органов и органов местного самоуправления Кыргызской Республики" от 1 августа 2022 года № 433.</w:t>
      </w:r>
    </w:p>
    <w:p>
      <w:pPr>
        <w:spacing w:after="60"/>
        <w:ind w:firstLine="567"/>
        <w:jc w:val="both"/>
      </w:pPr>
      <w:r>
        <w:rPr>
          <w:rFonts w:ascii="Arial" w:cs="Arial" w:eastAsia="Arial" w:hAnsi="Arial"/>
          <w:sz w:val="24"/>
          <w:szCs w:val="24"/>
        </w:rPr>
        <w:t xml:space="preserve">5. Внести в </w:t>
      </w:r>
      <w:hyperlink w:history="1" r:id="rId-0jpb88omwzj0vj81pc9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 в том числе технического и обслуживающего персонала" от 15 ноября 2021 года № 264 следующие изменения:</w:t>
      </w:r>
    </w:p>
    <w:p>
      <w:pPr>
        <w:spacing w:after="60"/>
        <w:ind w:firstLine="567"/>
        <w:jc w:val="both"/>
      </w:pPr>
      <w:r>
        <w:rPr>
          <w:rFonts w:ascii="Arial" w:cs="Arial" w:eastAsia="Arial" w:hAnsi="Arial"/>
          <w:sz w:val="24"/>
          <w:szCs w:val="24"/>
        </w:rPr>
        <w:t xml:space="preserve">1) в </w:t>
      </w:r>
      <w:hyperlink w:history="1" r:id="rIdjo4okecbft2ez4hljjxdo">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пункты 21, 22 признать утратившими силу;</w:t>
      </w:r>
    </w:p>
    <w:p>
      <w:pPr>
        <w:spacing w:after="60"/>
        <w:ind w:firstLine="567"/>
        <w:jc w:val="both"/>
      </w:pPr>
      <w:r>
        <w:rPr>
          <w:rFonts w:ascii="Arial" w:cs="Arial" w:eastAsia="Arial" w:hAnsi="Arial"/>
          <w:sz w:val="24"/>
          <w:szCs w:val="24"/>
        </w:rPr>
        <w:t xml:space="preserve">2) в </w:t>
      </w:r>
      <w:hyperlink w:history="1" r:id="rIdznaip4vrqxpirwr4rf73m">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7"/>
        <w:gridCol w:w="8938"/>
        <w:gridCol w:w="457"/>
        <w:gridCol w:w="326"/>
      </w:tblGrid>
      <w:tr>
        <w:tc>
          <w:tcPr>
            <w:tcW w:type="dxa" w:w="4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9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инициатив при Президенте Кыргызской Республики</w:t>
            </w:r>
          </w:p>
        </w:tc>
        <w:tc>
          <w:tcPr>
            <w:tcW w:type="dxa" w:w="4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3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w:t>
      </w:r>
      <w:hyperlink w:history="1" r:id="rIdskxd7ppkm0ztverwqazu0">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вышеуказанному постановлению:</w:t>
      </w:r>
    </w:p>
    <w:p>
      <w:pPr>
        <w:spacing w:after="60"/>
        <w:ind w:firstLine="567"/>
        <w:jc w:val="both"/>
      </w:pPr>
      <w:r>
        <w:rPr>
          <w:rFonts w:ascii="Arial" w:cs="Arial" w:eastAsia="Arial" w:hAnsi="Arial"/>
          <w:sz w:val="24"/>
          <w:szCs w:val="24"/>
        </w:rPr>
        <w:t xml:space="preserve">- в пункте 23 слово "исследований" заменить словом "инициатив";</w:t>
      </w:r>
    </w:p>
    <w:p>
      <w:pPr>
        <w:spacing w:after="60"/>
        <w:ind w:firstLine="567"/>
        <w:jc w:val="both"/>
      </w:pPr>
      <w:r>
        <w:rPr>
          <w:rFonts w:ascii="Arial" w:cs="Arial" w:eastAsia="Arial" w:hAnsi="Arial"/>
          <w:sz w:val="24"/>
          <w:szCs w:val="24"/>
        </w:rPr>
        <w:t xml:space="preserve">- в пункте 24 слова ", Институт исследований экономической политики Кыргызской Республики" исключить.</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1) </w:t>
      </w:r>
      <w:hyperlink w:history="1" r:id="rIdcwqbsbrk24nlqloqcbsgl">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Временного Правительства Кыргызской Республики "О Национальном институте стратегических исследований Кыргызской Республики" от 2 июля 2010 года № 114;</w:t>
      </w:r>
    </w:p>
    <w:p>
      <w:pPr>
        <w:spacing w:after="60"/>
        <w:ind w:firstLine="567"/>
        <w:jc w:val="both"/>
      </w:pPr>
      <w:r>
        <w:rPr>
          <w:rFonts w:ascii="Arial" w:cs="Arial" w:eastAsia="Arial" w:hAnsi="Arial"/>
          <w:sz w:val="24"/>
          <w:szCs w:val="24"/>
        </w:rPr>
        <w:t xml:space="preserve">2) </w:t>
      </w:r>
      <w:hyperlink w:history="1" r:id="rIdr1z9gqzqfuuvllx9b4sy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условиях оплаты труда работников Института исследований экономической политики Кыргызской Республики" от 30 мая 2019 года № 238;</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внесении изменений в некоторые решения Правительства Кыргызской Республики в сфере деятельности Института исследований экономической политики при Министерстве экономики и финансов Кыргызской Республики" от 30 июля 2021 года № 100.</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июля 2024 года № 57</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КОЭФФИЦИЕНТЫ</w:t>
      </w:r>
    </w:p>
    <w:p>
      <w:pPr>
        <w:spacing w:after="240" w:before="200"/>
        <w:jc w:val="center"/>
      </w:pPr>
      <w:r>
        <w:rPr>
          <w:rFonts w:ascii="Arial" w:cs="Arial" w:eastAsia="Arial" w:hAnsi="Arial"/>
          <w:b/>
          <w:bCs/>
          <w:sz w:val="32"/>
          <w:szCs w:val="32"/>
        </w:rPr>
        <w:t xml:space="preserve">кратности к должностным окладам, применяемые при определении размеров должностных окладов сотрудников Национального института стратегических инициатив при Президенте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gce4xav55c2jvysyas-q">
        <w:r>
          <w:rPr>
            <w:rFonts w:ascii="Arial" w:cs="Arial" w:eastAsia="Arial" w:hAnsi="Arial"/>
            <w:i/>
            <w:iCs/>
            <w:color w:val="1D4ED8"/>
            <w:sz w:val="24"/>
            <w:szCs w:val="24"/>
            <w:u w:val="single"/>
          </w:rPr>
          <w:t xml:space="preserve">5 июня 2026 года № 395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6597"/>
        <w:gridCol w:w="2759"/>
      </w:tblGrid>
      <w:tr>
        <w:tc>
          <w:tcPr>
            <w:tcW w:type="dxa" w:w="8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5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должностей</w:t>
            </w:r>
          </w:p>
        </w:tc>
        <w:tc>
          <w:tcPr>
            <w:tcW w:type="dxa" w:w="27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Коэффициенты кратности</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Директор</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Заместитель директора</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Советник</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Редактор</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эксперт</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Эксперт</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Финансовый менеджер-бухгалтер</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65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Юрист-менеджер по кадровым вопросам</w:t>
            </w:r>
          </w:p>
        </w:tc>
        <w:tc>
          <w:tcPr>
            <w:tcW w:type="dxa" w:w="2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w:t>
      </w:r>
    </w:p>
    <w:p>
      <w:pPr>
        <w:spacing w:after="240" w:before="200"/>
        <w:jc w:val="center"/>
      </w:pPr>
      <w:r>
        <w:rPr>
          <w:rFonts w:ascii="Arial" w:cs="Arial" w:eastAsia="Arial" w:hAnsi="Arial"/>
          <w:b/>
          <w:bCs/>
          <w:sz w:val="32"/>
          <w:szCs w:val="32"/>
        </w:rPr>
        <w:t xml:space="preserve">процентных надбавок за выслугу лет к должностным окладам сотрудников Национального института стратегических инициатив при Президенте Кыргызской Республики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2365"/>
        <w:gridCol w:w="7177"/>
      </w:tblGrid>
      <w:tr>
        <w:tc>
          <w:tcPr>
            <w:tcW w:type="dxa" w:w="6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Стаж работы</w:t>
            </w:r>
          </w:p>
        </w:tc>
        <w:tc>
          <w:tcPr>
            <w:tcW w:type="dxa" w:w="717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Размеры процентных надбавок за выслугу лет</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до 3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 до 10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до 15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15 до 20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до 25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6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25 лет</w:t>
            </w:r>
          </w:p>
        </w:tc>
        <w:tc>
          <w:tcPr>
            <w:tcW w:type="dxa" w:w="7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Надбавки за выслугу лет устанавливаются за стаж работы в государственных органах, а также в подведомственных учреждениях, организациях и предприятиях центральных органов государственного управления, министерств, комитетов, административных ведомств.</w:t>
      </w:r>
    </w:p>
    <w:p>
      <w:pPr>
        <w:spacing w:after="60"/>
        <w:ind w:firstLine="567"/>
        <w:jc w:val="both"/>
      </w:pPr>
      <w:r>
        <w:rPr>
          <w:rFonts w:ascii="Arial" w:cs="Arial" w:eastAsia="Arial" w:hAnsi="Arial"/>
          <w:sz w:val="24"/>
          <w:szCs w:val="24"/>
        </w:rPr>
        <w:t xml:space="preserve">2. Надбавки за выслугу лет начисляются на должностной оклад без учета других надбавок и доплат.</w:t>
      </w:r>
    </w:p>
    <w:p>
      <w:pPr>
        <w:spacing w:after="60"/>
        <w:ind w:firstLine="567"/>
        <w:jc w:val="both"/>
      </w:pPr>
      <w:r>
        <w:rPr>
          <w:rFonts w:ascii="Arial" w:cs="Arial" w:eastAsia="Arial" w:hAnsi="Arial"/>
          <w:sz w:val="24"/>
          <w:szCs w:val="24"/>
        </w:rPr>
        <w:t xml:space="preserve">3. Стаж работы для выплаты ежемесячной надбавки за выслугу лет определятся комиссией по установлению трудового стажа. Состав комиссии по установлению трудового стажа утверждается директором Национального института стратегических инициатив при Президенте Кыргызской Республики.</w:t>
      </w:r>
    </w:p>
    <w:p>
      <w:pPr>
        <w:spacing w:after="60"/>
        <w:ind w:firstLine="567"/>
        <w:jc w:val="both"/>
      </w:pPr>
      <w:r>
        <w:rPr>
          <w:rFonts w:ascii="Arial" w:cs="Arial" w:eastAsia="Arial" w:hAnsi="Arial"/>
          <w:sz w:val="24"/>
          <w:szCs w:val="24"/>
        </w:rPr>
        <w:t xml:space="preserve">4. Комиссия по установлению трудового стажа вправе, в исключительных случаях, с целью привлечения квалифицированных кадров принять решение о включении периода работы по профессии в стаж работы для начисления надбавки за выслугу лет.</w:t>
      </w:r>
    </w:p>
    <w:p>
      <w:pPr>
        <w:spacing w:after="60"/>
        <w:ind w:firstLine="567"/>
        <w:jc w:val="both"/>
      </w:pPr>
      <w:r>
        <w:rPr>
          <w:rFonts w:ascii="Arial" w:cs="Arial" w:eastAsia="Arial" w:hAnsi="Arial"/>
          <w:sz w:val="24"/>
          <w:szCs w:val="24"/>
        </w:rPr>
        <w:t xml:space="preserve">5. Выплата надбавок за выслугу лет производится ежемесячно, дифференцированно, в зависимости от стажа работы, дающего права на получение этой надбавки.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2g3a7y-oun9o6mwjkhoo" Type="http://schemas.openxmlformats.org/officeDocument/2006/relationships/hyperlink" Target="http://kodeks.duckdns.org/document/230046884" TargetMode="External"/><Relationship Id="rIdyplqkko9bnjjvt6gneiaz" Type="http://schemas.openxmlformats.org/officeDocument/2006/relationships/hyperlink" Target="http://kodeks.duckdns.org/document/230004347" TargetMode="External"/><Relationship Id="rIddou2q8gya2lthtj97v_cn" Type="http://schemas.openxmlformats.org/officeDocument/2006/relationships/hyperlink" Target="http://kodeks.duckdns.org/document/203289#st_1" TargetMode="External"/><Relationship Id="rIdq4ncwockuxkhlg0o9cpba" Type="http://schemas.openxmlformats.org/officeDocument/2006/relationships/hyperlink" Target="http://kodeks.duckdns.org/document/112301#st_13" TargetMode="External"/><Relationship Id="rIdfx6wza5qkx3rrupirsu5i" Type="http://schemas.openxmlformats.org/officeDocument/2006/relationships/hyperlink" Target="http://kodeks.duckdns.org/document/112301#st_17" TargetMode="External"/><Relationship Id="rIdsq-m2kfmxmuexliaanv4z" Type="http://schemas.openxmlformats.org/officeDocument/2006/relationships/hyperlink" Target="http://kodeks.duckdns.org/document/230011474#pr1" TargetMode="External"/><Relationship Id="rIdoxhfeersy_xzw9o9dj6zk" Type="http://schemas.openxmlformats.org/officeDocument/2006/relationships/hyperlink" Target="http://kodeks.duckdns.org/document/230011474#pr2" TargetMode="External"/><Relationship Id="rIdsacvqgnknr9rbnbut3ij4" Type="http://schemas.openxmlformats.org/officeDocument/2006/relationships/hyperlink" Target="http://kodeks.duckdns.org/document/230046884" TargetMode="External"/><Relationship Id="rId_noovyavf9jz8wpvok10x" Type="http://schemas.openxmlformats.org/officeDocument/2006/relationships/hyperlink" Target="http://kodeks.duckdns.org/document/159369" TargetMode="External"/><Relationship Id="rId-0jpb88omwzj0vj81pc9t" Type="http://schemas.openxmlformats.org/officeDocument/2006/relationships/hyperlink" Target="http://kodeks.duckdns.org/document/158720" TargetMode="External"/><Relationship Id="rIdjo4okecbft2ez4hljjxdo" Type="http://schemas.openxmlformats.org/officeDocument/2006/relationships/hyperlink" Target="http://kodeks.duckdns.org/document/158720" TargetMode="External"/><Relationship Id="rIdznaip4vrqxpirwr4rf73m" Type="http://schemas.openxmlformats.org/officeDocument/2006/relationships/hyperlink" Target="http://kodeks.duckdns.org/document/158720" TargetMode="External"/><Relationship Id="rIdskxd7ppkm0ztverwqazu0" Type="http://schemas.openxmlformats.org/officeDocument/2006/relationships/hyperlink" Target="http://kodeks.duckdns.org/document/158720" TargetMode="External"/><Relationship Id="rIdcwqbsbrk24nlqloqcbsgl" Type="http://schemas.openxmlformats.org/officeDocument/2006/relationships/hyperlink" Target="http://kodeks.duckdns.org/document/92422" TargetMode="External"/><Relationship Id="rIdr1z9gqzqfuuvllx9b4syl" Type="http://schemas.openxmlformats.org/officeDocument/2006/relationships/hyperlink" Target="http://kodeks.duckdns.org/document/14135" TargetMode="External"/><Relationship Id="rIdxgce4xav55c2jvysyas-q" Type="http://schemas.openxmlformats.org/officeDocument/2006/relationships/hyperlink" Target="http://kodeks.duckdns.org/document/230046884"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2026-09-23T06:12:25.973Z</dcterms:created>
  <dcterms:modified xsi:type="dcterms:W3CDTF">2026-09-23T06:12:25.973Z</dcterms:modified>
</cp:coreProperties>
</file>

<file path=docProps/custom.xml><?xml version="1.0" encoding="utf-8"?>
<Properties xmlns="http://schemas.openxmlformats.org/officeDocument/2006/custom-properties" xmlns:vt="http://schemas.openxmlformats.org/officeDocument/2006/docPropsVTypes"/>
</file>