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(Утвержден </w:t>
      </w:r>
      <w:hyperlink w:history="1" r:id="rId3_shjor2_v0ulwyrcmfs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w:t>
      </w:r>
      <w:r>
        <w:rPr>
          <w:rFonts w:ascii="Arial" w:cs="Arial" w:eastAsia="Arial" w:hAnsi="Arial"/>
          <w:sz w:val="24"/>
          <w:szCs w:val="24"/>
        </w:rPr>
        <w:t xml:space="preserve">Кыргызской Республики
 от 17 июля 2024 года № 191)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отбора участников государственной жилищной программы </w:t>
      </w:r>
    </w:p>
    <w:p>
      <w:pPr>
        <w:spacing w:after="240" w:before="200"/>
        <w:jc w:val="center"/>
      </w:pPr>
      <w:r>
        <w:rPr>
          <w:rFonts w:ascii="Arial" w:cs="Arial" w:eastAsia="Arial" w:hAnsi="Arial"/>
          <w:b/>
          <w:bCs/>
          <w:sz w:val="32"/>
          <w:szCs w:val="32"/>
        </w:rPr>
        <w:t xml:space="preserve">Кыргызской Республики "Менин үйүм"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9ts4qgpygz32nmudaw-bb">
        <w:r>
          <w:rPr>
            <w:rFonts w:ascii="Arial" w:cs="Arial" w:eastAsia="Arial" w:hAnsi="Arial"/>
            <w:i/>
            <w:iCs/>
            <w:color w:val="1D4ED8"/>
            <w:sz w:val="24"/>
            <w:szCs w:val="24"/>
            <w:u w:val="single"/>
          </w:rPr>
          <w:t xml:space="preserve">14 ноября 2024 года УП № 323</w:t>
        </w:r>
      </w:hyperlink>
      <w:r>
        <w:rPr>
          <w:rFonts w:ascii="Arial" w:cs="Arial" w:eastAsia="Arial" w:hAnsi="Arial"/>
          <w:sz w:val="24"/>
          <w:szCs w:val="24"/>
        </w:rPr>
        <w:t xml:space="preserve">, </w:t>
      </w:r>
      <w:hyperlink w:history="1" r:id="rIdcb5vnfikprudqiuv-wwbl">
        <w:r>
          <w:rPr>
            <w:rFonts w:ascii="Arial" w:cs="Arial" w:eastAsia="Arial" w:hAnsi="Arial"/>
            <w:i/>
            <w:iCs/>
            <w:color w:val="1D4ED8"/>
            <w:sz w:val="24"/>
            <w:szCs w:val="24"/>
            <w:u w:val="single"/>
          </w:rPr>
          <w:t xml:space="preserve">24 декабря 2025 года УП № 376</w:t>
        </w:r>
      </w:hyperlink>
      <w:r>
        <w:rPr>
          <w:rFonts w:ascii="Arial" w:cs="Arial" w:eastAsia="Arial" w:hAnsi="Arial"/>
          <w:i/>
          <w:iCs/>
          <w:sz w:val="24"/>
          <w:szCs w:val="24"/>
        </w:rPr>
        <w:t xml:space="preserve">, </w:t>
      </w:r>
      <w:hyperlink w:history="1" r:id="rIddcalma1p0ibltb372bmci">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отбора участников государственной жилищной программы Кыргызской Республики "Менин үйүм" (далее - Порядок) устанавливает:</w:t>
      </w:r>
    </w:p>
    <w:p>
      <w:pPr>
        <w:spacing w:after="60"/>
        <w:ind w:firstLine="567"/>
        <w:jc w:val="both"/>
      </w:pPr>
      <w:r>
        <w:rPr>
          <w:rFonts w:ascii="Arial" w:cs="Arial" w:eastAsia="Arial" w:hAnsi="Arial"/>
          <w:sz w:val="24"/>
          <w:szCs w:val="24"/>
        </w:rPr>
        <w:t xml:space="preserve">- критерии отбора;</w:t>
      </w:r>
    </w:p>
    <w:p>
      <w:pPr>
        <w:spacing w:after="60"/>
        <w:ind w:firstLine="567"/>
        <w:jc w:val="both"/>
      </w:pPr>
      <w:r>
        <w:rPr>
          <w:rFonts w:ascii="Arial" w:cs="Arial" w:eastAsia="Arial" w:hAnsi="Arial"/>
          <w:sz w:val="24"/>
          <w:szCs w:val="24"/>
        </w:rPr>
        <w:t xml:space="preserve">- порядок формирования отбора участников;</w:t>
      </w:r>
    </w:p>
    <w:p>
      <w:pPr>
        <w:spacing w:after="60"/>
        <w:ind w:firstLine="567"/>
        <w:jc w:val="both"/>
      </w:pPr>
      <w:r>
        <w:rPr>
          <w:rFonts w:ascii="Arial" w:cs="Arial" w:eastAsia="Arial" w:hAnsi="Arial"/>
          <w:sz w:val="24"/>
          <w:szCs w:val="24"/>
        </w:rPr>
        <w:t xml:space="preserve">- порядок формирования списков участников.</w:t>
      </w:r>
    </w:p>
    <w:p>
      <w:pPr>
        <w:spacing w:after="60"/>
        <w:ind w:firstLine="567"/>
        <w:jc w:val="both"/>
      </w:pPr>
      <w:r>
        <w:rPr>
          <w:rFonts w:ascii="Arial" w:cs="Arial" w:eastAsia="Arial" w:hAnsi="Arial"/>
          <w:sz w:val="24"/>
          <w:szCs w:val="24"/>
        </w:rPr>
        <w:t xml:space="preserve">В рамках реализации государственной жилищной программы Кыргызской Республики "Менин үйүм" (далее - Программа) настоящий Порядок определяет условия:</w:t>
      </w:r>
    </w:p>
    <w:p>
      <w:pPr>
        <w:spacing w:after="60"/>
        <w:ind w:firstLine="567"/>
        <w:jc w:val="both"/>
      </w:pPr>
      <w:r>
        <w:rPr>
          <w:rFonts w:ascii="Arial" w:cs="Arial" w:eastAsia="Arial" w:hAnsi="Arial"/>
          <w:sz w:val="24"/>
          <w:szCs w:val="24"/>
        </w:rPr>
        <w:t xml:space="preserve">- предоставления жилья в аренду с последующим выкупом;</w:t>
      </w:r>
    </w:p>
    <w:p>
      <w:pPr>
        <w:spacing w:after="60"/>
        <w:ind w:firstLine="567"/>
        <w:jc w:val="both"/>
      </w:pPr>
      <w:r>
        <w:rPr>
          <w:rFonts w:ascii="Arial" w:cs="Arial" w:eastAsia="Arial" w:hAnsi="Arial"/>
          <w:sz w:val="24"/>
          <w:szCs w:val="24"/>
        </w:rPr>
        <w:t xml:space="preserve">- выдачи государственных ипотечных кредитов на приобретение и строительство жилья;</w:t>
      </w:r>
    </w:p>
    <w:p>
      <w:pPr>
        <w:spacing w:after="60"/>
        <w:ind w:firstLine="567"/>
        <w:jc w:val="both"/>
      </w:pPr>
      <w:r>
        <w:rPr>
          <w:rFonts w:ascii="Arial" w:cs="Arial" w:eastAsia="Arial" w:hAnsi="Arial"/>
          <w:sz w:val="24"/>
          <w:szCs w:val="24"/>
        </w:rPr>
        <w:t xml:space="preserve">- выдачи государственных ипотечных кредитов на капитальный ремонт имеющегося жилья;</w:t>
      </w:r>
    </w:p>
    <w:p>
      <w:pPr>
        <w:spacing w:after="60"/>
        <w:ind w:firstLine="567"/>
        <w:jc w:val="both"/>
      </w:pPr>
      <w:r>
        <w:rPr>
          <w:rFonts w:ascii="Arial" w:cs="Arial" w:eastAsia="Arial" w:hAnsi="Arial"/>
          <w:sz w:val="24"/>
          <w:szCs w:val="24"/>
        </w:rPr>
        <w:t xml:space="preserve">- механизма расширения имеющегося жилья;</w:t>
      </w:r>
    </w:p>
    <w:p>
      <w:pPr>
        <w:spacing w:after="60"/>
        <w:ind w:firstLine="567"/>
        <w:jc w:val="both"/>
      </w:pPr>
      <w:r>
        <w:rPr>
          <w:rFonts w:ascii="Arial" w:cs="Arial" w:eastAsia="Arial" w:hAnsi="Arial"/>
          <w:sz w:val="24"/>
          <w:szCs w:val="24"/>
        </w:rPr>
        <w:t xml:space="preserve">- механизма долевого строительства жилья.</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иностранный гражданин, получивший статус соотечественника с иностранным гражданством,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в том числе на стадии строительства), отвечающая критериям настоящего Порядка;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нежилое помещение</w:t>
      </w:r>
      <w:r>
        <w:rPr>
          <w:rFonts w:ascii="Arial" w:cs="Arial" w:eastAsia="Arial" w:hAnsi="Arial"/>
          <w:sz w:val="24"/>
          <w:szCs w:val="24"/>
        </w:rPr>
        <w:t xml:space="preserve"> - коммерческие помещения, цокольные этажи, надземный, подземный паркинги, кладовое и техническое помещения, построенные в рамках государственной жилищной программы;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w:t>
      </w:r>
      <w:r>
        <w:rPr>
          <w:rFonts w:ascii="Arial" w:cs="Arial" w:eastAsia="Arial" w:hAnsi="Arial"/>
          <w:sz w:val="24"/>
          <w:szCs w:val="24"/>
        </w:rPr>
        <w:t xml:space="preserve"> -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следующих механизмов приобретения или строительства индивидуального жилья:</w:t>
      </w:r>
    </w:p>
    <w:p>
      <w:pPr>
        <w:spacing w:after="60"/>
        <w:ind w:firstLine="567"/>
        <w:jc w:val="both"/>
      </w:pPr>
      <w:r>
        <w:rPr>
          <w:rFonts w:ascii="Arial" w:cs="Arial" w:eastAsia="Arial" w:hAnsi="Arial"/>
          <w:sz w:val="24"/>
          <w:szCs w:val="24"/>
        </w:rPr>
        <w:t xml:space="preserve">- аренда жилья с последующим выкупом;</w:t>
      </w:r>
    </w:p>
    <w:p>
      <w:pPr>
        <w:spacing w:after="60"/>
        <w:ind w:firstLine="567"/>
        <w:jc w:val="both"/>
      </w:pPr>
      <w:r>
        <w:rPr>
          <w:rFonts w:ascii="Arial" w:cs="Arial" w:eastAsia="Arial" w:hAnsi="Arial"/>
          <w:sz w:val="24"/>
          <w:szCs w:val="24"/>
        </w:rPr>
        <w:t xml:space="preserve">- долевое строительство жилья;</w:t>
      </w:r>
    </w:p>
    <w:p>
      <w:pPr>
        <w:spacing w:after="60"/>
        <w:ind w:firstLine="567"/>
        <w:jc w:val="both"/>
      </w:pPr>
      <w:r>
        <w:rPr>
          <w:rFonts w:ascii="Arial" w:cs="Arial" w:eastAsia="Arial" w:hAnsi="Arial"/>
          <w:sz w:val="24"/>
          <w:szCs w:val="24"/>
        </w:rPr>
        <w:t xml:space="preserve">- жилищное обеспечение по исламским принципам финансирования;</w:t>
      </w:r>
    </w:p>
    <w:p>
      <w:pPr>
        <w:spacing w:after="60"/>
        <w:ind w:firstLine="567"/>
        <w:jc w:val="both"/>
      </w:pPr>
      <w:r>
        <w:rPr>
          <w:rFonts w:ascii="Arial" w:cs="Arial" w:eastAsia="Arial" w:hAnsi="Arial"/>
          <w:sz w:val="24"/>
          <w:szCs w:val="24"/>
        </w:rPr>
        <w:t xml:space="preserve">- финансовый лизинг;</w:t>
      </w:r>
    </w:p>
    <w:p>
      <w:pPr>
        <w:spacing w:after="60"/>
        <w:ind w:firstLine="567"/>
        <w:jc w:val="both"/>
      </w:pPr>
      <w:r>
        <w:rPr>
          <w:rFonts w:ascii="Arial" w:cs="Arial" w:eastAsia="Arial" w:hAnsi="Arial"/>
          <w:sz w:val="24"/>
          <w:szCs w:val="24"/>
        </w:rPr>
        <w:t xml:space="preserve">- жилищное финансирование с применением "зеленых" принципов финансирования;</w:t>
      </w:r>
    </w:p>
    <w:p>
      <w:pPr>
        <w:spacing w:after="60"/>
        <w:ind w:firstLine="567"/>
        <w:jc w:val="both"/>
      </w:pPr>
      <w:r>
        <w:rPr>
          <w:rFonts w:ascii="Arial" w:cs="Arial" w:eastAsia="Arial" w:hAnsi="Arial"/>
          <w:sz w:val="24"/>
          <w:szCs w:val="24"/>
        </w:rPr>
        <w:t xml:space="preserve">- расширение имеющегося жилья;</w:t>
      </w:r>
    </w:p>
    <w:p>
      <w:pPr>
        <w:spacing w:after="60"/>
        <w:ind w:firstLine="567"/>
        <w:jc w:val="both"/>
      </w:pPr>
      <w:r>
        <w:rPr>
          <w:rFonts w:ascii="Arial" w:cs="Arial" w:eastAsia="Arial" w:hAnsi="Arial"/>
          <w:sz w:val="24"/>
          <w:szCs w:val="24"/>
        </w:rPr>
        <w:t xml:space="preserve">- ипотечный кредит через банки-партнеры ГИК;</w:t>
      </w:r>
    </w:p>
    <w:p>
      <w:pPr>
        <w:spacing w:after="60"/>
        <w:ind w:firstLine="567"/>
        <w:jc w:val="both"/>
      </w:pPr>
      <w:r>
        <w:rPr>
          <w:rFonts w:ascii="Arial" w:cs="Arial" w:eastAsia="Arial" w:hAnsi="Arial"/>
          <w:sz w:val="24"/>
          <w:szCs w:val="24"/>
        </w:rPr>
        <w:t xml:space="preserve">- капитальный ремонт имеющегося жилья;</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db-fjubvdumletk0ul7ha">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6jkf2vhblfts9_wczudu2">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Критерии отбора участников Программы по </w:t>
      </w:r>
    </w:p>
    <w:p>
      <w:pPr>
        <w:spacing w:after="240" w:before="200"/>
        <w:jc w:val="center"/>
      </w:pPr>
      <w:r>
        <w:rPr>
          <w:rFonts w:ascii="Arial" w:cs="Arial" w:eastAsia="Arial" w:hAnsi="Arial"/>
          <w:b/>
          <w:bCs/>
          <w:sz w:val="32"/>
          <w:szCs w:val="32"/>
        </w:rPr>
        <w:t xml:space="preserve">направлениям жилищного финансирования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Общие критерии отбора для граждан по направлениям жилищного финансирования "Социальная ипотека", "Льготная ипотека" и "Доступная ипотека":</w:t>
      </w:r>
    </w:p>
    <w:p>
      <w:pPr>
        <w:spacing w:after="60"/>
        <w:ind w:firstLine="567"/>
        <w:jc w:val="both"/>
      </w:pPr>
      <w:r>
        <w:rPr>
          <w:rFonts w:ascii="Arial" w:cs="Arial" w:eastAsia="Arial" w:hAnsi="Arial"/>
          <w:sz w:val="24"/>
          <w:szCs w:val="24"/>
        </w:rPr>
        <w:t xml:space="preserve">- возрастной ценз от 18 (восемнадцать) лет на момент подачи заявления на участие в Программе;</w:t>
      </w:r>
    </w:p>
    <w:p>
      <w:pPr>
        <w:spacing w:after="60"/>
        <w:ind w:firstLine="567"/>
        <w:jc w:val="both"/>
      </w:pPr>
      <w:r>
        <w:rPr>
          <w:rFonts w:ascii="Arial" w:cs="Arial" w:eastAsia="Arial" w:hAnsi="Arial"/>
          <w:sz w:val="24"/>
          <w:szCs w:val="24"/>
        </w:rPr>
        <w:t xml:space="preserve">- наличие общего трудового стажа/периода осуществления предпринимательской/экономической деятельности не менее 2 (двух) лет или стажа/периода осуществления предпринимательской или экономической деятельности в данной организации не менее 1 (одного) года;</w:t>
      </w:r>
    </w:p>
    <w:p>
      <w:pPr>
        <w:spacing w:after="60"/>
        <w:ind w:firstLine="567"/>
        <w:jc w:val="both"/>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spacing w:after="60"/>
        <w:ind w:firstLine="567"/>
        <w:jc w:val="both"/>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1) жилищное финансирование по направлению "Льготная ипотека" будет доступно гражданам, осуществляющим трудовую деятельность в следующих организациях:</w:t>
      </w:r>
    </w:p>
    <w:p>
      <w:pPr>
        <w:spacing w:after="60"/>
        <w:ind w:firstLine="567"/>
        <w:jc w:val="both"/>
      </w:pPr>
      <w:r>
        <w:rPr>
          <w:rFonts w:ascii="Arial" w:cs="Arial" w:eastAsia="Arial" w:hAnsi="Arial"/>
          <w:sz w:val="24"/>
          <w:szCs w:val="24"/>
        </w:rPr>
        <w:t xml:space="preserve">- государственные органы, исполнительной, судебной и законодательной власти;</w:t>
      </w:r>
    </w:p>
    <w:p>
      <w:pPr>
        <w:spacing w:after="60"/>
        <w:ind w:firstLine="567"/>
        <w:jc w:val="both"/>
      </w:pPr>
      <w:r>
        <w:rPr>
          <w:rFonts w:ascii="Arial" w:cs="Arial" w:eastAsia="Arial" w:hAnsi="Arial"/>
          <w:sz w:val="24"/>
          <w:szCs w:val="24"/>
        </w:rPr>
        <w:t xml:space="preserve">- государственные и муниципальные организации;</w:t>
      </w:r>
    </w:p>
    <w:p>
      <w:pPr>
        <w:spacing w:after="60"/>
        <w:ind w:firstLine="567"/>
        <w:jc w:val="both"/>
      </w:pPr>
      <w:r>
        <w:rPr>
          <w:rFonts w:ascii="Arial" w:cs="Arial" w:eastAsia="Arial" w:hAnsi="Arial"/>
          <w:sz w:val="24"/>
          <w:szCs w:val="24"/>
        </w:rPr>
        <w:t xml:space="preserve">- органы местного самоуправления;</w:t>
      </w:r>
    </w:p>
    <w:p>
      <w:pPr>
        <w:spacing w:after="60"/>
        <w:ind w:firstLine="567"/>
        <w:jc w:val="both"/>
      </w:pPr>
      <w:r>
        <w:rPr>
          <w:rFonts w:ascii="Arial" w:cs="Arial" w:eastAsia="Arial" w:hAnsi="Arial"/>
          <w:sz w:val="24"/>
          <w:szCs w:val="24"/>
        </w:rPr>
        <w:t xml:space="preserve">- подведомственные организации и предприятия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государственные и муниципальные образовательные организации;</w:t>
      </w:r>
    </w:p>
    <w:p>
      <w:pPr>
        <w:spacing w:after="60"/>
        <w:ind w:firstLine="567"/>
        <w:jc w:val="both"/>
      </w:pPr>
      <w:r>
        <w:rPr>
          <w:rFonts w:ascii="Arial" w:cs="Arial" w:eastAsia="Arial" w:hAnsi="Arial"/>
          <w:sz w:val="24"/>
          <w:szCs w:val="24"/>
        </w:rPr>
        <w:t xml:space="preserve">- государственные и муниципальные организации здравоохранения;</w:t>
      </w:r>
    </w:p>
    <w:p>
      <w:pPr>
        <w:spacing w:after="60"/>
        <w:ind w:firstLine="567"/>
        <w:jc w:val="both"/>
      </w:pPr>
      <w:r>
        <w:rPr>
          <w:rFonts w:ascii="Arial" w:cs="Arial" w:eastAsia="Arial" w:hAnsi="Arial"/>
          <w:sz w:val="24"/>
          <w:szCs w:val="24"/>
        </w:rPr>
        <w:t xml:space="preserve">- Вооруженные Силы Кыргызской Республики и воинские формирования государственных органов;</w:t>
      </w:r>
    </w:p>
    <w:p>
      <w:pPr>
        <w:spacing w:after="60"/>
        <w:ind w:firstLine="567"/>
        <w:jc w:val="both"/>
      </w:pPr>
      <w:r>
        <w:rPr>
          <w:rFonts w:ascii="Arial" w:cs="Arial" w:eastAsia="Arial" w:hAnsi="Arial"/>
          <w:sz w:val="24"/>
          <w:szCs w:val="24"/>
        </w:rPr>
        <w:t xml:space="preserve">- уполномоченный орган, одним из предметов деятельности которого является реализация государственных программ;</w:t>
      </w:r>
    </w:p>
    <w:p>
      <w:pPr>
        <w:spacing w:after="60"/>
        <w:ind w:firstLine="567"/>
        <w:jc w:val="both"/>
      </w:pPr>
      <w:r>
        <w:rPr>
          <w:rFonts w:ascii="Arial" w:cs="Arial" w:eastAsia="Arial" w:hAnsi="Arial"/>
          <w:sz w:val="24"/>
          <w:szCs w:val="24"/>
        </w:rPr>
        <w:t xml:space="preserve">- государственные телерадиоорганизации;</w:t>
      </w:r>
    </w:p>
    <w:p>
      <w:pPr>
        <w:spacing w:after="60"/>
        <w:ind w:firstLine="567"/>
        <w:jc w:val="both"/>
      </w:pPr>
      <w:r>
        <w:rPr>
          <w:rFonts w:ascii="Arial" w:cs="Arial" w:eastAsia="Arial" w:hAnsi="Arial"/>
          <w:sz w:val="24"/>
          <w:szCs w:val="24"/>
        </w:rPr>
        <w:t xml:space="preserve">2) жилищное финансирование по направлению "Доступная ипотека" будет доступно всем гражданам, имеющим трудовую деятельность, согласно критериям отбора настоящего Порядка;</w:t>
      </w:r>
    </w:p>
    <w:p>
      <w:pPr>
        <w:spacing w:after="60"/>
        <w:ind w:firstLine="567"/>
        <w:jc w:val="both"/>
      </w:pPr>
      <w:r>
        <w:rPr>
          <w:rFonts w:ascii="Arial" w:cs="Arial" w:eastAsia="Arial" w:hAnsi="Arial"/>
          <w:sz w:val="24"/>
          <w:szCs w:val="24"/>
        </w:rPr>
        <w:t xml:space="preserve">3) жилищное финансирование по направлению "Социальная ипотека" будет доступно следующим категориям граждан:</w:t>
      </w:r>
    </w:p>
    <w:p>
      <w:pPr>
        <w:spacing w:after="60"/>
        <w:ind w:firstLine="567"/>
        <w:jc w:val="both"/>
      </w:pPr>
      <w:r>
        <w:rPr>
          <w:rFonts w:ascii="Arial" w:cs="Arial" w:eastAsia="Arial" w:hAnsi="Arial"/>
          <w:sz w:val="24"/>
          <w:szCs w:val="24"/>
        </w:rPr>
        <w:t xml:space="preserve">- имеющие не менее 5 (пять) несовершеннолетних детей;</w:t>
      </w:r>
    </w:p>
    <w:p>
      <w:pPr>
        <w:spacing w:after="60"/>
        <w:ind w:firstLine="567"/>
        <w:jc w:val="both"/>
      </w:pPr>
      <w:r>
        <w:rPr>
          <w:rFonts w:ascii="Arial" w:cs="Arial" w:eastAsia="Arial" w:hAnsi="Arial"/>
          <w:sz w:val="24"/>
          <w:szCs w:val="24"/>
        </w:rPr>
        <w:t xml:space="preserve">- награжденные орденом "Баатыр эне";</w:t>
      </w:r>
    </w:p>
    <w:p>
      <w:pPr>
        <w:spacing w:after="60"/>
        <w:ind w:firstLine="567"/>
        <w:jc w:val="both"/>
      </w:pPr>
      <w:r>
        <w:rPr>
          <w:rFonts w:ascii="Arial" w:cs="Arial" w:eastAsia="Arial" w:hAnsi="Arial"/>
          <w:sz w:val="24"/>
          <w:szCs w:val="24"/>
        </w:rPr>
        <w:t xml:space="preserve">- лица с ограниченными возможностями здоровья;</w:t>
      </w:r>
    </w:p>
    <w:p>
      <w:pPr>
        <w:spacing w:after="60"/>
        <w:ind w:firstLine="567"/>
        <w:jc w:val="both"/>
      </w:pPr>
      <w:r>
        <w:rPr>
          <w:rFonts w:ascii="Arial" w:cs="Arial" w:eastAsia="Arial" w:hAnsi="Arial"/>
          <w:sz w:val="24"/>
          <w:szCs w:val="24"/>
        </w:rPr>
        <w:t xml:space="preserve">- лица, воспитывающие детей с ограниченными возможностями здоровья или имеющие в составе семьи лиц с ограниченными возможностями здоровья;</w:t>
      </w:r>
    </w:p>
    <w:p>
      <w:pPr>
        <w:spacing w:after="60"/>
        <w:ind w:firstLine="567"/>
        <w:jc w:val="both"/>
      </w:pPr>
      <w:r>
        <w:rPr>
          <w:rFonts w:ascii="Arial" w:cs="Arial" w:eastAsia="Arial" w:hAnsi="Arial"/>
          <w:sz w:val="24"/>
          <w:szCs w:val="24"/>
        </w:rPr>
        <w:t xml:space="preserve">- официальные пожизненные опекуны лиц с ограниченными возможностями здоровья;</w:t>
      </w:r>
    </w:p>
    <w:p>
      <w:pPr>
        <w:spacing w:after="60"/>
        <w:ind w:firstLine="567"/>
        <w:jc w:val="both"/>
      </w:pPr>
      <w:r>
        <w:rPr>
          <w:rFonts w:ascii="Arial" w:cs="Arial" w:eastAsia="Arial" w:hAnsi="Arial"/>
          <w:sz w:val="24"/>
          <w:szCs w:val="24"/>
        </w:rPr>
        <w:t xml:space="preserve">- 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p>
    <w:p>
      <w:pPr>
        <w:spacing w:after="60"/>
        <w:ind w:firstLine="567"/>
        <w:jc w:val="both"/>
      </w:pPr>
      <w:r>
        <w:rPr>
          <w:rFonts w:ascii="Arial" w:cs="Arial" w:eastAsia="Arial" w:hAnsi="Arial"/>
          <w:sz w:val="24"/>
          <w:szCs w:val="24"/>
        </w:rPr>
        <w:t xml:space="preserve">- вдовы и вдовцы (не состоящие в браке), имеющие несовершеннолетнего ребенка/детей;</w:t>
      </w:r>
    </w:p>
    <w:p>
      <w:pPr>
        <w:spacing w:after="60"/>
        <w:ind w:firstLine="567"/>
        <w:jc w:val="both"/>
      </w:pPr>
      <w:r>
        <w:rPr>
          <w:rFonts w:ascii="Arial" w:cs="Arial" w:eastAsia="Arial" w:hAnsi="Arial"/>
          <w:sz w:val="24"/>
          <w:szCs w:val="24"/>
        </w:rPr>
        <w:t xml:space="preserve">- молодые специалисты в возрасте до 35 (тридцать пять) лет на момент подачи заявления, осуществляющие трудовую и экономическую/предпринимательскую деятельность в сельской местности.</w:t>
      </w:r>
    </w:p>
    <w:p>
      <w:pPr>
        <w:spacing w:after="120"/>
        <w:ind w:firstLine="567"/>
        <w:jc w:val="both"/>
      </w:pPr>
      <w:r>
        <w:rPr>
          <w:rFonts w:ascii="Arial" w:cs="Arial" w:eastAsia="Arial" w:hAnsi="Arial"/>
          <w:sz w:val="24"/>
          <w:szCs w:val="24"/>
        </w:rPr>
        <w:t xml:space="preserve">- выпускники детских домов - круглые сироты (с момента достижения совершеннолетнего возраста).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cfpf5nmppeicdm87ndfm6">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w:t>
      </w:r>
    </w:p>
    <w:p>
      <w:pPr>
        <w:spacing w:after="60"/>
        <w:ind w:firstLine="567"/>
        <w:jc w:val="both"/>
      </w:pPr>
      <w:r>
        <w:rPr>
          <w:rFonts w:ascii="Arial" w:cs="Arial" w:eastAsia="Arial" w:hAnsi="Arial"/>
          <w:sz w:val="24"/>
          <w:szCs w:val="24"/>
        </w:rPr>
        <w:t xml:space="preserve">- в случае наличия у участника, супруга (супруги) и несовершеннолетних детей участника общей доли в жилье не более 20 (двадцать) кв.м при условии, отсутствия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 в случае наличия доли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 в случае наличия гражданско-правовой сделки, связанной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2) отдельным гражданам республики, решениями Президента Кыргызской Республики и Председателя Кабинета Министров Кыргызской Республики предоставляется жилищное финансирование, без учета критериев отбора и процедуры формирования списков участников Программы, при этом в решениях должна быть отражена следующая информация:</w:t>
      </w:r>
    </w:p>
    <w:p>
      <w:pPr>
        <w:spacing w:after="60"/>
        <w:ind w:firstLine="567"/>
        <w:jc w:val="both"/>
      </w:pPr>
      <w:r>
        <w:rPr>
          <w:rFonts w:ascii="Arial" w:cs="Arial" w:eastAsia="Arial" w:hAnsi="Arial"/>
          <w:sz w:val="24"/>
          <w:szCs w:val="24"/>
        </w:rPr>
        <w:t xml:space="preserve">- условия предоставления жилищного финансирования: процентная ставка, срок;</w:t>
      </w:r>
    </w:p>
    <w:p>
      <w:pPr>
        <w:spacing w:after="60"/>
        <w:ind w:firstLine="567"/>
        <w:jc w:val="both"/>
      </w:pPr>
      <w:r>
        <w:rPr>
          <w:rFonts w:ascii="Arial" w:cs="Arial" w:eastAsia="Arial" w:hAnsi="Arial"/>
          <w:sz w:val="24"/>
          <w:szCs w:val="24"/>
        </w:rPr>
        <w:t xml:space="preserve">- при отсутствии жилищного фонда ГИК, условия выкупа жилья;</w:t>
      </w:r>
    </w:p>
    <w:p>
      <w:pPr>
        <w:spacing w:after="120"/>
        <w:ind w:firstLine="567"/>
        <w:jc w:val="both"/>
      </w:pPr>
      <w:r>
        <w:rPr>
          <w:rFonts w:ascii="Arial" w:cs="Arial" w:eastAsia="Arial" w:hAnsi="Arial"/>
          <w:sz w:val="24"/>
          <w:szCs w:val="24"/>
        </w:rPr>
        <w:t xml:space="preserve">3) министерствам и ведомствам, участвовавшим в формировании жилого фонда ГИК (в том числе посредством строительства, привлечения финансовых ресурсов, финансирования либо передачи объектов недвижимости на баланс ГИК на безвозмездной или возмездной основе), предоставляется первоочередное право на получение жилищного финансирования без применения процедуры формирования списков участников Программы, предоставление квоты определяется решением Совета директоров ГИК и составляет:</w:t>
      </w:r>
    </w:p>
    <w:p>
      <w:pPr>
        <w:spacing w:after="120"/>
        <w:ind w:firstLine="567"/>
        <w:jc w:val="both"/>
      </w:pPr>
      <w:r>
        <w:rPr>
          <w:rFonts w:ascii="Arial" w:cs="Arial" w:eastAsia="Arial" w:hAnsi="Arial"/>
          <w:sz w:val="24"/>
          <w:szCs w:val="24"/>
        </w:rPr>
        <w:t xml:space="preserve">- до 10 процентов от общего количества квартир в конкретном объекте, расположенном в городе Бишкек;</w:t>
      </w:r>
    </w:p>
    <w:p>
      <w:pPr>
        <w:spacing w:after="120"/>
        <w:ind w:firstLine="567"/>
        <w:jc w:val="both"/>
      </w:pPr>
      <w:r>
        <w:rPr>
          <w:rFonts w:ascii="Arial" w:cs="Arial" w:eastAsia="Arial" w:hAnsi="Arial"/>
          <w:sz w:val="24"/>
          <w:szCs w:val="24"/>
        </w:rPr>
        <w:t xml:space="preserve">- до 20 процентов от общего количества квартир в конкретном объекте, расположенном в регионах;</w:t>
      </w:r>
    </w:p>
    <w:p>
      <w:pPr>
        <w:spacing w:after="60"/>
        <w:ind w:firstLine="567"/>
        <w:jc w:val="both"/>
      </w:pPr>
      <w:r>
        <w:rPr>
          <w:rFonts w:ascii="Arial" w:cs="Arial" w:eastAsia="Arial" w:hAnsi="Arial"/>
          <w:sz w:val="24"/>
          <w:szCs w:val="24"/>
        </w:rPr>
        <w:t xml:space="preserve">4) в случае изменения региона трудовой деятельности, по собственной инициативе участника - участник снимается со списков очередности Программы и подает новую заявку с указанием нового региона трудовой деятельности.</w:t>
      </w:r>
    </w:p>
    <w:p>
      <w:pPr>
        <w:spacing w:after="60"/>
        <w:ind w:firstLine="567"/>
        <w:jc w:val="both"/>
      </w:pPr>
      <w:r>
        <w:rPr>
          <w:rFonts w:ascii="Arial" w:cs="Arial" w:eastAsia="Arial" w:hAnsi="Arial"/>
          <w:sz w:val="24"/>
          <w:szCs w:val="24"/>
        </w:rPr>
        <w:t xml:space="preserve">В случае изменения региона трудовой деятельности, по ротации в рамках трудовой деятельности, изначальный регион в списках не меняется;</w:t>
      </w:r>
    </w:p>
    <w:p>
      <w:pPr>
        <w:spacing w:after="120"/>
        <w:ind w:firstLine="567"/>
        <w:jc w:val="both"/>
      </w:pPr>
      <w:r>
        <w:rPr>
          <w:rFonts w:ascii="Arial" w:cs="Arial" w:eastAsia="Arial" w:hAnsi="Arial"/>
          <w:sz w:val="24"/>
          <w:szCs w:val="24"/>
        </w:rPr>
        <w:t xml:space="preserve">5)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и утверждаться решениями Правления ГИК;</w:t>
      </w:r>
    </w:p>
    <w:p>
      <w:pPr>
        <w:spacing w:after="60"/>
        <w:ind w:firstLine="567"/>
        <w:jc w:val="both"/>
      </w:pPr>
      <w:r>
        <w:rPr>
          <w:rFonts w:ascii="Arial" w:cs="Arial" w:eastAsia="Arial" w:hAnsi="Arial"/>
          <w:sz w:val="24"/>
          <w:szCs w:val="24"/>
        </w:rPr>
        <w:t xml:space="preserve">6) условия и параметры ипотечных кредитов, предоставляемых гражданам Кыргызской Республики за счет средств инвесторов (международные доноры, кредиторы и другие), а также в рамках жилищных программ, разработанных при участии инвесторов, регулируются отдельными соглашениями;</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3p6nz-uqmaayg911xffxj">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8) участник, в том числе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9) специальные критерии отбора для отдельной категории граждан и механизма жилищного финансирования:</w:t>
      </w:r>
    </w:p>
    <w:p>
      <w:pPr>
        <w:spacing w:after="60"/>
        <w:ind w:firstLine="567"/>
        <w:jc w:val="both"/>
      </w:pPr>
      <w:r>
        <w:rPr>
          <w:rFonts w:ascii="Arial" w:cs="Arial" w:eastAsia="Arial" w:hAnsi="Arial"/>
          <w:sz w:val="24"/>
          <w:szCs w:val="24"/>
        </w:rPr>
        <w:t xml:space="preserve">- для официальных пожизненных опекунов лиц с ограниченными возможностями здоровья применяется один критерий: наличие общего трудового стажа/периода осуществления предпринимательской/экономической деятельности не менее 2 (двух) лет или стажа/периода осуществления предпринимательской/экономической деятельности в данной организации не менее 1 (один) года;</w:t>
      </w:r>
    </w:p>
    <w:p>
      <w:pPr>
        <w:spacing w:after="120"/>
        <w:ind w:firstLine="567"/>
        <w:jc w:val="both"/>
      </w:pPr>
      <w:r>
        <w:rPr>
          <w:rFonts w:ascii="Arial" w:cs="Arial" w:eastAsia="Arial" w:hAnsi="Arial"/>
          <w:sz w:val="24"/>
          <w:szCs w:val="24"/>
        </w:rPr>
        <w:t xml:space="preserve">- в рамках механизма жилищного финансирования долевого строительства жилья, в том числе в рамках продукта "Накопительная ипотека", применяется один критерий - отсутствие у участника, супруга (супруги) участника и несовершеннолетних детей участника жилья и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w:t>
      </w:r>
    </w:p>
    <w:p>
      <w:pPr>
        <w:spacing w:after="120"/>
        <w:ind w:firstLine="567"/>
        <w:jc w:val="both"/>
      </w:pPr>
      <w:r>
        <w:rPr>
          <w:rFonts w:ascii="Arial" w:cs="Arial" w:eastAsia="Arial" w:hAnsi="Arial"/>
          <w:sz w:val="24"/>
          <w:szCs w:val="24"/>
        </w:rPr>
        <w:t xml:space="preserve">- военнослужащим в период прохождения военной службы предоставляется право на участие в Программе, независимо от места прохождения ими военной службы, при соблюдении всех установленных критериев участия и порядка подачи заявления на участие в Программе.</w:t>
      </w:r>
    </w:p>
    <w:p>
      <w:pPr>
        <w:spacing w:after="120"/>
        <w:ind w:firstLine="567"/>
        <w:jc w:val="both"/>
      </w:pPr>
      <w:r>
        <w:rPr>
          <w:rFonts w:ascii="Arial" w:cs="Arial" w:eastAsia="Arial" w:hAnsi="Arial"/>
          <w:i/>
          <w:iCs/>
          <w:sz w:val="24"/>
          <w:szCs w:val="24"/>
        </w:rPr>
        <w:t xml:space="preserve">(В редакции Указов Президента Кыргызской Республики от </w:t>
      </w:r>
      <w:hyperlink w:history="1" r:id="rIdqynqb2qk0kakzbsj4-lco">
        <w:r>
          <w:rPr>
            <w:rFonts w:ascii="Arial" w:cs="Arial" w:eastAsia="Arial" w:hAnsi="Arial"/>
            <w:i/>
            <w:iCs/>
            <w:color w:val="1D4ED8"/>
            <w:sz w:val="24"/>
            <w:szCs w:val="24"/>
            <w:u w:val="single"/>
          </w:rPr>
          <w:t xml:space="preserve">14 ноября 2024 года УП № 323</w:t>
        </w:r>
      </w:hyperlink>
      <w:r>
        <w:rPr>
          <w:rFonts w:ascii="Arial" w:cs="Arial" w:eastAsia="Arial" w:hAnsi="Arial"/>
          <w:sz w:val="24"/>
          <w:szCs w:val="24"/>
        </w:rPr>
        <w:t xml:space="preserve">, </w:t>
      </w:r>
      <w:hyperlink w:history="1" r:id="rIdqhppmj-m5ihkow_gi_diq">
        <w:r>
          <w:rPr>
            <w:rFonts w:ascii="Arial" w:cs="Arial" w:eastAsia="Arial" w:hAnsi="Arial"/>
            <w:i/>
            <w:iCs/>
            <w:color w:val="1D4ED8"/>
            <w:sz w:val="24"/>
            <w:szCs w:val="24"/>
            <w:u w:val="single"/>
          </w:rPr>
          <w:t xml:space="preserve">24 декабря 2025 года УП № 376</w:t>
        </w:r>
      </w:hyperlink>
      <w:r>
        <w:rPr>
          <w:rFonts w:ascii="Arial" w:cs="Arial" w:eastAsia="Arial" w:hAnsi="Arial"/>
          <w:sz w:val="24"/>
          <w:szCs w:val="24"/>
        </w:rPr>
        <w:t xml:space="preserve">, </w:t>
      </w:r>
      <w:hyperlink w:history="1" r:id="rIdvtz4ug_nvtyoafutjjrud">
        <w:r>
          <w:rPr>
            <w:rFonts w:ascii="Arial" w:cs="Arial" w:eastAsia="Arial" w:hAnsi="Arial"/>
            <w:i/>
            <w:iCs/>
            <w:color w:val="1D4ED8"/>
            <w:sz w:val="24"/>
            <w:szCs w:val="24"/>
            <w:u w:val="single"/>
          </w:rPr>
          <w:t xml:space="preserve">30 апреля 2026 года № 157 </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Формирование списка участников и их отбор</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Список участников </w:t>
      </w:r>
      <w:hyperlink w:history="1" r:id="rIdik2zspwnvr5cip4ypwoz6">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утвержденной </w:t>
      </w:r>
      <w:hyperlink w:history="1" r:id="rIdukgmstit5zi8lhcv9ao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ephxekqtx4b5l9oqdtqq4">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от 13 июля 2021 года № 75 будет включен в начало списка участников Программы.</w:t>
      </w:r>
    </w:p>
    <w:p>
      <w:pPr>
        <w:spacing w:after="120"/>
        <w:ind w:firstLine="567"/>
        <w:jc w:val="both"/>
      </w:pPr>
      <w:r>
        <w:rPr>
          <w:rFonts w:ascii="Arial" w:cs="Arial" w:eastAsia="Arial" w:hAnsi="Arial"/>
          <w:sz w:val="24"/>
          <w:szCs w:val="24"/>
        </w:rPr>
        <w:t xml:space="preserve">6. Электронную форму заявки на участие в Программе граждане подают путем регистрации на официальном веб-сайте ГИК, государственном портале электронных услуг "Түндүк" и других приложениях.</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ctiacb2ofzqlziu21s1z_">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xiptqn-i2xrfwuorlpko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gsenxp0vxpqjrt5pjoao8">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9.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1)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120"/>
        <w:ind w:firstLine="567"/>
        <w:jc w:val="both"/>
      </w:pPr>
      <w:r>
        <w:rPr>
          <w:rFonts w:ascii="Arial" w:cs="Arial" w:eastAsia="Arial" w:hAnsi="Arial"/>
          <w:sz w:val="24"/>
          <w:szCs w:val="24"/>
        </w:rPr>
        <w:t xml:space="preserve">2) граждане, зарегистрировавшиеся на веб-сайте ГИК, могут пройти процедуру удаленной онлайн-идентификации посредством различных платформ, предоставляющих электронные государственные и муниципальные услуги, включая мобильные приложения сотовых операторов.</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ehr8yzmbncbzdfiyzsiio">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fmcjy5rcoedaudphbyqp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11. После получения электронной заявки на участие в Программе и оригиналов/электронной формы согласия граждан на обработку персональных данных ГИК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sz w:val="24"/>
          <w:szCs w:val="24"/>
        </w:rPr>
        <w:t xml:space="preserve">12. По итогам проведенных со стороны ГИК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sz w:val="24"/>
          <w:szCs w:val="24"/>
        </w:rPr>
        <w:t xml:space="preserve">13.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12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 за исключением продукта "Накопительная ипотека;</w:t>
      </w:r>
    </w:p>
    <w:p>
      <w:pPr>
        <w:spacing w:after="12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(отказе) жилья в аренду с последующим выкупом по итогам рассмотрения.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hflnitfs7jmvkaikfvuk">
        <w:r>
          <w:rPr>
            <w:rFonts w:ascii="Arial" w:cs="Arial" w:eastAsia="Arial" w:hAnsi="Arial"/>
            <w:i/>
            <w:iCs/>
            <w:color w:val="1D4ED8"/>
            <w:sz w:val="24"/>
            <w:szCs w:val="24"/>
            <w:u w:val="single"/>
          </w:rPr>
          <w:t xml:space="preserve">14 ноября 2024 года УП № 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Срок действия электронной заявки участников, не обратившихся за жилищным финансированием, составляет 1 (один)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Условия предоставления арендного жилья с </w:t>
      </w:r>
    </w:p>
    <w:p>
      <w:pPr>
        <w:spacing w:after="240" w:before="200"/>
        <w:jc w:val="center"/>
      </w:pPr>
      <w:r>
        <w:rPr>
          <w:rFonts w:ascii="Arial" w:cs="Arial" w:eastAsia="Arial" w:hAnsi="Arial"/>
          <w:b/>
          <w:bCs/>
          <w:sz w:val="32"/>
          <w:szCs w:val="32"/>
        </w:rPr>
        <w:t xml:space="preserve">последующим выкупом</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610"/>
        <w:gridCol w:w="714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7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w:t>
            </w:r>
            <w:r>
              <w:rPr>
                <w:rFonts w:ascii="Arial" w:cs="Arial" w:eastAsia="Arial" w:hAnsi="Arial"/>
                <w:sz w:val="24"/>
                <w:szCs w:val="24"/>
              </w:rPr>
              <w:t xml:space="preserve">- "Социальная ипотека";</w:t>
            </w:r>
            <w:r>
              <w:rPr>
                <w:rFonts w:ascii="Arial" w:cs="Arial" w:eastAsia="Arial" w:hAnsi="Arial"/>
                <w:sz w:val="24"/>
                <w:szCs w:val="24"/>
              </w:rPr>
              <w:t xml:space="preserve">- "Льготная ипотека";</w:t>
            </w:r>
            <w:r>
              <w:rPr>
                <w:rFonts w:ascii="Arial" w:cs="Arial" w:eastAsia="Arial" w:hAnsi="Arial"/>
                <w:sz w:val="24"/>
                <w:szCs w:val="24"/>
              </w:rPr>
              <w:t xml:space="preserve">- "Доступная ипотека"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r>
              <w:rPr>
                <w:rFonts w:ascii="Arial" w:cs="Arial" w:eastAsia="Arial" w:hAnsi="Arial"/>
                <w:sz w:val="24"/>
                <w:szCs w:val="24"/>
              </w:rPr>
              <w:t xml:space="preserve">Жилье предоставляется в регионе осуществления трудовой деятельности, при этом:</w:t>
            </w:r>
            <w:r>
              <w:rPr>
                <w:rFonts w:ascii="Arial" w:cs="Arial" w:eastAsia="Arial" w:hAnsi="Arial"/>
                <w:sz w:val="24"/>
                <w:szCs w:val="24"/>
              </w:rPr>
              <w:t xml:space="preserve">- для участников, осуществляющих трудовую деятельность в городе Бишкек, допускается предоставление жилья в регионах республики;</w:t>
            </w:r>
            <w:r>
              <w:rPr>
                <w:rFonts w:ascii="Arial" w:cs="Arial" w:eastAsia="Arial" w:hAnsi="Arial"/>
                <w:sz w:val="24"/>
                <w:szCs w:val="24"/>
              </w:rPr>
              <w:t xml:space="preserve">- для участников, осуществляющих трудовую деятельность в регионах республики, не допускается предоставление жилья в городе Бишкек</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арендных платежей в соответствии с плановыми графиками погашения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отдельным решением акционера (совета директоров) ГИК с применением следующих показателей:</w:t>
            </w:r>
            <w:r>
              <w:rPr>
                <w:rFonts w:ascii="Arial" w:cs="Arial" w:eastAsia="Arial" w:hAnsi="Arial"/>
                <w:sz w:val="24"/>
                <w:szCs w:val="24"/>
              </w:rPr>
              <w:t xml:space="preserve">- стоимость источников финансирования;</w:t>
            </w:r>
            <w:r>
              <w:rPr>
                <w:rFonts w:ascii="Arial" w:cs="Arial" w:eastAsia="Arial" w:hAnsi="Arial"/>
                <w:sz w:val="24"/>
                <w:szCs w:val="24"/>
              </w:rPr>
              <w:t xml:space="preserve">- расходы на строительство;</w:t>
            </w:r>
            <w:r>
              <w:rPr>
                <w:rFonts w:ascii="Arial" w:cs="Arial" w:eastAsia="Arial" w:hAnsi="Arial"/>
                <w:sz w:val="24"/>
                <w:szCs w:val="24"/>
              </w:rPr>
              <w:t xml:space="preserve">- среднегодовой уровень инфляции;</w:t>
            </w:r>
            <w:r>
              <w:rPr>
                <w:rFonts w:ascii="Arial" w:cs="Arial" w:eastAsia="Arial" w:hAnsi="Arial"/>
                <w:sz w:val="24"/>
                <w:szCs w:val="24"/>
              </w:rPr>
              <w:t xml:space="preserve">- конъюнктура рынка недвижимости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оформление и регистрация договора аренды с последующим выкупом, согласно тарифам государственного органа регистрации;</w:t>
            </w:r>
            <w:r>
              <w:rPr>
                <w:rFonts w:ascii="Arial" w:cs="Arial" w:eastAsia="Arial" w:hAnsi="Arial"/>
                <w:sz w:val="24"/>
                <w:szCs w:val="24"/>
              </w:rPr>
              <w:t xml:space="preserve">- страхование жилья;</w:t>
            </w:r>
            <w:r>
              <w:rPr>
                <w:rFonts w:ascii="Arial" w:cs="Arial" w:eastAsia="Arial" w:hAnsi="Arial"/>
                <w:sz w:val="24"/>
                <w:szCs w:val="24"/>
              </w:rPr>
              <w:t xml:space="preserve">- запрос на получение информации о кредитной истории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в эквиваленте процентных ставок, а также годовая доходность по наценке по механизмам жилищного обеспечения по исламским принципам финансирования, согласно направлениям:</w:t>
            </w:r>
            <w:r>
              <w:rPr>
                <w:rFonts w:ascii="Arial" w:cs="Arial" w:eastAsia="Arial" w:hAnsi="Arial"/>
                <w:sz w:val="24"/>
                <w:szCs w:val="24"/>
              </w:rPr>
              <w:t xml:space="preserve">- "Социальная ипотека" 4 (четыре) % годовых;</w:t>
            </w:r>
            <w:r>
              <w:rPr>
                <w:rFonts w:ascii="Arial" w:cs="Arial" w:eastAsia="Arial" w:hAnsi="Arial"/>
                <w:sz w:val="24"/>
                <w:szCs w:val="24"/>
              </w:rPr>
              <w:t xml:space="preserve">- "Льготная ипотека" 4 (четыре) % годовых;</w:t>
            </w:r>
            <w:r>
              <w:rPr>
                <w:rFonts w:ascii="Arial" w:cs="Arial" w:eastAsia="Arial" w:hAnsi="Arial"/>
                <w:sz w:val="24"/>
                <w:szCs w:val="24"/>
              </w:rPr>
              <w:t xml:space="preserve">- "Доступная ипотека" 8 (восемь)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osqstn3iddynod2cjsiy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супруга (супруги) участника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текущих просроченных обязательств;</w:t>
            </w: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три месяца</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Условия финансирования через долевое </w:t>
      </w:r>
    </w:p>
    <w:p>
      <w:pPr>
        <w:spacing w:after="240" w:before="200"/>
        <w:jc w:val="center"/>
      </w:pPr>
      <w:r>
        <w:rPr>
          <w:rFonts w:ascii="Arial" w:cs="Arial" w:eastAsia="Arial" w:hAnsi="Arial"/>
          <w:b/>
          <w:bCs/>
          <w:sz w:val="32"/>
          <w:szCs w:val="32"/>
        </w:rPr>
        <w:t xml:space="preserve">строительство жилья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528"/>
        <w:gridCol w:w="7226"/>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2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соответствующие критериям отбора по механизму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 По завершению строительства жилья, с участником ГИК заключает договор аренды с последующим выкупом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не менее 50 (пятьдесят) % от стоимости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отдельным решением акционера (совета директоров) ГИК с применением следующих показателей:</w:t>
            </w:r>
            <w:r>
              <w:rPr>
                <w:rFonts w:ascii="Arial" w:cs="Arial" w:eastAsia="Arial" w:hAnsi="Arial"/>
                <w:sz w:val="24"/>
                <w:szCs w:val="24"/>
              </w:rPr>
              <w:t xml:space="preserve">- стоимость источников финансирования;</w:t>
            </w:r>
            <w:r>
              <w:rPr>
                <w:rFonts w:ascii="Arial" w:cs="Arial" w:eastAsia="Arial" w:hAnsi="Arial"/>
                <w:sz w:val="24"/>
                <w:szCs w:val="24"/>
              </w:rPr>
              <w:t xml:space="preserve">- расходы на строительство;</w:t>
            </w:r>
            <w:r>
              <w:rPr>
                <w:rFonts w:ascii="Arial" w:cs="Arial" w:eastAsia="Arial" w:hAnsi="Arial"/>
                <w:sz w:val="24"/>
                <w:szCs w:val="24"/>
              </w:rPr>
              <w:t xml:space="preserve">- среднегодовой уровень инфляции;</w:t>
            </w:r>
            <w:r>
              <w:rPr>
                <w:rFonts w:ascii="Arial" w:cs="Arial" w:eastAsia="Arial" w:hAnsi="Arial"/>
                <w:sz w:val="24"/>
                <w:szCs w:val="24"/>
              </w:rPr>
              <w:t xml:space="preserve">- конъюнктура рынка недвижимости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в эквиваленте процентных ставок 8 (восемь)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15 (пятнадцать) лет (в зависимости от источников финансирования)</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Условия ипотечного кредитования через </w:t>
      </w:r>
    </w:p>
    <w:p>
      <w:pPr>
        <w:spacing w:after="240" w:before="200"/>
        <w:jc w:val="center"/>
      </w:pPr>
      <w:r>
        <w:rPr>
          <w:rFonts w:ascii="Arial" w:cs="Arial" w:eastAsia="Arial" w:hAnsi="Arial"/>
          <w:b/>
          <w:bCs/>
          <w:sz w:val="32"/>
          <w:szCs w:val="32"/>
        </w:rPr>
        <w:t xml:space="preserve">банки-партнеры ГИК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757"/>
        <w:gridCol w:w="6997"/>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6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w:t>
            </w:r>
            <w:r>
              <w:rPr>
                <w:rFonts w:ascii="Arial" w:cs="Arial" w:eastAsia="Arial" w:hAnsi="Arial"/>
                <w:sz w:val="24"/>
                <w:szCs w:val="24"/>
              </w:rPr>
              <w:t xml:space="preserve">- "Социальная ипотека";</w:t>
            </w:r>
            <w:r>
              <w:rPr>
                <w:rFonts w:ascii="Arial" w:cs="Arial" w:eastAsia="Arial" w:hAnsi="Arial"/>
                <w:sz w:val="24"/>
                <w:szCs w:val="24"/>
              </w:rPr>
              <w:t xml:space="preserve">- "Льготная ипотека";</w:t>
            </w:r>
            <w:r>
              <w:rPr>
                <w:rFonts w:ascii="Arial" w:cs="Arial" w:eastAsia="Arial" w:hAnsi="Arial"/>
                <w:sz w:val="24"/>
                <w:szCs w:val="24"/>
              </w:rPr>
              <w:t xml:space="preserve">- "Доступная ипотека".</w:t>
            </w:r>
            <w:r>
              <w:rPr>
                <w:rFonts w:ascii="Arial" w:cs="Arial" w:eastAsia="Arial" w:hAnsi="Arial"/>
                <w:sz w:val="24"/>
                <w:szCs w:val="24"/>
              </w:rPr>
              <w:t xml:space="preserve">В рамках продукта "Накопительная ипотека" - критериям отбора по механизму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с использованием механизма поэтапного финансирования, при наличии земельного участка.</w:t>
            </w:r>
            <w:r>
              <w:rPr>
                <w:rFonts w:ascii="Arial" w:cs="Arial" w:eastAsia="Arial" w:hAnsi="Arial"/>
                <w:sz w:val="24"/>
                <w:szCs w:val="24"/>
              </w:rPr>
              <w:t xml:space="preserve">Кредит предоставляется на приобретение жилья в регионе осуществления трудовой деятельности, при этом:</w:t>
            </w:r>
            <w:r>
              <w:rPr>
                <w:rFonts w:ascii="Arial" w:cs="Arial" w:eastAsia="Arial" w:hAnsi="Arial"/>
                <w:sz w:val="24"/>
                <w:szCs w:val="24"/>
              </w:rPr>
              <w:t xml:space="preserve">- для участников, осуществляющих трудовую деятельность в городе Бишкек, допускается предоставление кредита на приобретение жилья в регионах республики;</w:t>
            </w:r>
            <w:r>
              <w:rPr>
                <w:rFonts w:ascii="Arial" w:cs="Arial" w:eastAsia="Arial" w:hAnsi="Arial"/>
                <w:sz w:val="24"/>
                <w:szCs w:val="24"/>
              </w:rPr>
              <w:t xml:space="preserve">- для участников, осуществляющих трудовую деятельность в регионах республики, не допускается предоставление кредита на приобретение жилья в городе Бишкек.</w:t>
            </w:r>
            <w:r>
              <w:rPr>
                <w:rFonts w:ascii="Arial" w:cs="Arial" w:eastAsia="Arial" w:hAnsi="Arial"/>
                <w:sz w:val="24"/>
                <w:szCs w:val="24"/>
              </w:rPr>
              <w:t xml:space="preserve">В рамках продукта "Накопительная ипотека" - приобретение жилья с использованием механизма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 устанавливается исходя из рыночной стоимости приобретаемого жилья на дату заключения кредитного договора, с учетом платежеспособности заемщика, также в соответствии с положениями генеральных соглашений ГИК с банками-партнерами.</w:t>
            </w:r>
            <w:r>
              <w:rPr>
                <w:rFonts w:ascii="Arial" w:cs="Arial" w:eastAsia="Arial" w:hAnsi="Arial"/>
                <w:sz w:val="24"/>
                <w:szCs w:val="24"/>
              </w:rPr>
              <w:t xml:space="preserve">В рамках продукта "Накопительная ипотека" - не более 20 (двадцать) % от стоимости приобретаемого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не более 25 (двадцать пять) лет, в зависимости от источников финансирования;</w:t>
            </w:r>
            <w:r>
              <w:rPr>
                <w:rFonts w:ascii="Arial" w:cs="Arial" w:eastAsia="Arial" w:hAnsi="Arial"/>
                <w:sz w:val="24"/>
                <w:szCs w:val="24"/>
              </w:rPr>
              <w:t xml:space="preserve">- в рамках продукта "Накопительная ипотека" - до 5 (пять) лет</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выдачи ипотечного кредита определяется на основании анализа платежеспособности согласно требованиям нормативных правовых актов Национального банка Кыргызской Республики и внутренних документов банка-партнера.</w:t>
            </w:r>
            <w:r>
              <w:rPr>
                <w:rFonts w:ascii="Arial" w:cs="Arial" w:eastAsia="Arial" w:hAnsi="Arial"/>
                <w:sz w:val="24"/>
                <w:szCs w:val="24"/>
              </w:rPr>
              <w:t xml:space="preserve">В рамках продукта "Накопительная ипотека" - без анализа платежеспособности при наличии у участника первоначального взноса на депозитном счете, открытом в банке-партнере ГИК, в размере не менее 30 (тридцать) % от стоимости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сумма первоначального взноса по направлениям, в том числе по механизмам жилищного обеспечения по исламским принципам финансирования:</w:t>
            </w:r>
            <w:r>
              <w:rPr>
                <w:rFonts w:ascii="Arial" w:cs="Arial" w:eastAsia="Arial" w:hAnsi="Arial"/>
                <w:sz w:val="24"/>
                <w:szCs w:val="24"/>
              </w:rPr>
              <w:t xml:space="preserve">- "Социальная ипотека" не менее 10 (десять) % от стоимости жилья;</w:t>
            </w:r>
            <w:r>
              <w:rPr>
                <w:rFonts w:ascii="Arial" w:cs="Arial" w:eastAsia="Arial" w:hAnsi="Arial"/>
                <w:sz w:val="24"/>
                <w:szCs w:val="24"/>
              </w:rPr>
              <w:t xml:space="preserve">- "Льготная ипотека" не менее 20 (двадцать) % от стоимости жилья;</w:t>
            </w:r>
            <w:r>
              <w:rPr>
                <w:rFonts w:ascii="Arial" w:cs="Arial" w:eastAsia="Arial" w:hAnsi="Arial"/>
                <w:sz w:val="24"/>
                <w:szCs w:val="24"/>
              </w:rPr>
              <w:t xml:space="preserve">- "Доступная ипотека" не менее 20 (двадцать) % от стоимости жилья.</w:t>
            </w: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r>
              <w:rPr>
                <w:rFonts w:ascii="Arial" w:cs="Arial" w:eastAsia="Arial" w:hAnsi="Arial"/>
                <w:sz w:val="24"/>
                <w:szCs w:val="24"/>
              </w:rPr>
              <w:t xml:space="preserve">В рамках продукта "Накопительная ипотека" - 30 (тридцать) % от стоимости жилья на депозитном счете участника, открытом в банке-партнере ГИК:</w:t>
            </w:r>
            <w:r>
              <w:rPr>
                <w:rFonts w:ascii="Arial" w:cs="Arial" w:eastAsia="Arial" w:hAnsi="Arial"/>
                <w:sz w:val="24"/>
                <w:szCs w:val="24"/>
              </w:rPr>
              <w:t xml:space="preserve">- срок вклада не менее 6 месяцев при условии накопления в течение определенного участником периода;</w:t>
            </w:r>
            <w:r>
              <w:rPr>
                <w:rFonts w:ascii="Arial" w:cs="Arial" w:eastAsia="Arial" w:hAnsi="Arial"/>
                <w:sz w:val="24"/>
                <w:szCs w:val="24"/>
              </w:rPr>
              <w:t xml:space="preserve">- срок вклада не менее 3 месяцев - при условии единовременного внесения денежных средств в размере 30% от стоимости жилья на накопительный счет сразу при его открытии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ставки по ипотечному кредиту</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ставки по ипотечным кредитам, а также годовая доходность по наценке по механизмам жилищного обеспечения по исламским принципам финансирования согласно направлениям:</w:t>
            </w:r>
            <w:r>
              <w:rPr>
                <w:rFonts w:ascii="Arial" w:cs="Arial" w:eastAsia="Arial" w:hAnsi="Arial"/>
                <w:sz w:val="24"/>
                <w:szCs w:val="24"/>
              </w:rPr>
              <w:t xml:space="preserve">- "Социальная ипотека" 4 (четыре) % годовых;</w:t>
            </w:r>
            <w:r>
              <w:rPr>
                <w:rFonts w:ascii="Arial" w:cs="Arial" w:eastAsia="Arial" w:hAnsi="Arial"/>
                <w:sz w:val="24"/>
                <w:szCs w:val="24"/>
              </w:rPr>
              <w:t xml:space="preserve">- "Льготная ипотека" 4 (четыре) % годовых;</w:t>
            </w:r>
            <w:r>
              <w:rPr>
                <w:rFonts w:ascii="Arial" w:cs="Arial" w:eastAsia="Arial" w:hAnsi="Arial"/>
                <w:sz w:val="24"/>
                <w:szCs w:val="24"/>
              </w:rPr>
              <w:t xml:space="preserve">- "Доступная ипотека" 8 (восемь) % годовых.</w:t>
            </w:r>
            <w:r>
              <w:rPr>
                <w:rFonts w:ascii="Arial" w:cs="Arial" w:eastAsia="Arial" w:hAnsi="Arial"/>
                <w:sz w:val="24"/>
                <w:szCs w:val="24"/>
              </w:rPr>
              <w:t xml:space="preserve">В рамках продукта "Накопительная ипотека" - 10 (десять)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обеспечения ипотечного кредита может применяться следующее:</w:t>
            </w:r>
            <w:r>
              <w:rPr>
                <w:rFonts w:ascii="Arial" w:cs="Arial" w:eastAsia="Arial" w:hAnsi="Arial"/>
                <w:sz w:val="24"/>
                <w:szCs w:val="24"/>
              </w:rPr>
              <w:t xml:space="preserve">- приобретенное жилье;</w:t>
            </w:r>
            <w:r>
              <w:rPr>
                <w:rFonts w:ascii="Arial" w:cs="Arial" w:eastAsia="Arial" w:hAnsi="Arial"/>
                <w:sz w:val="24"/>
                <w:szCs w:val="24"/>
              </w:rPr>
              <w:t xml:space="preserve">- земельный участок в период строительства индивидуального жилого дома;</w:t>
            </w:r>
            <w:r>
              <w:rPr>
                <w:rFonts w:ascii="Arial" w:cs="Arial" w:eastAsia="Arial" w:hAnsi="Arial"/>
                <w:sz w:val="24"/>
                <w:szCs w:val="24"/>
              </w:rPr>
              <w:t xml:space="preserve">- индивидуальный жилой дом, построенный за счет ипотечного кредита;</w:t>
            </w:r>
            <w:r>
              <w:rPr>
                <w:rFonts w:ascii="Arial" w:cs="Arial" w:eastAsia="Arial" w:hAnsi="Arial"/>
                <w:sz w:val="24"/>
                <w:szCs w:val="24"/>
              </w:rPr>
              <w:t xml:space="preserve">- имущественное право на строящееся жилое помещение на условиях договора долевого строительства в период строительства;</w:t>
            </w:r>
            <w:r>
              <w:rPr>
                <w:rFonts w:ascii="Arial" w:cs="Arial" w:eastAsia="Arial" w:hAnsi="Arial"/>
                <w:sz w:val="24"/>
                <w:szCs w:val="24"/>
              </w:rPr>
              <w:t xml:space="preserve">- ипотечная гарантия.</w:t>
            </w:r>
            <w:r>
              <w:rPr>
                <w:rFonts w:ascii="Arial" w:cs="Arial" w:eastAsia="Arial" w:hAnsi="Arial"/>
                <w:sz w:val="24"/>
                <w:szCs w:val="24"/>
              </w:rPr>
              <w:t xml:space="preserve">Допускается замена предмета залога ипотечного кредита при увеличении общей площади жилья за счет собственных средств заемщика, без привлечения дополнительного финансирования со стороны ГИК, с сохранением установленных условий кредитования в рамках ранее действовавших государственных программ.</w:t>
            </w:r>
            <w:r>
              <w:rPr>
                <w:rFonts w:ascii="Arial" w:cs="Arial" w:eastAsia="Arial" w:hAnsi="Arial"/>
                <w:sz w:val="24"/>
                <w:szCs w:val="24"/>
              </w:rPr>
              <w:t xml:space="preserve">В рамках продукта "Накопительная ипотека" - гарантия/поручительство ГИК в соответствии с заключенным соглашением о сотрудничестве и договором гарантии/поручительства между ГИК и банком-партнером</w:t>
            </w:r>
          </w:p>
        </w:tc>
      </w:tr>
    </w:tbl>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2ozyz2zoufpbx_ezttkvp">
        <w:r>
          <w:rPr>
            <w:rFonts w:ascii="Arial" w:cs="Arial" w:eastAsia="Arial" w:hAnsi="Arial"/>
            <w:i/>
            <w:iCs/>
            <w:color w:val="1D4ED8"/>
            <w:sz w:val="24"/>
            <w:szCs w:val="24"/>
            <w:u w:val="single"/>
          </w:rPr>
          <w:t xml:space="preserve">14 ноября 2024 года УП № 323</w:t>
        </w:r>
      </w:hyperlink>
      <w:r>
        <w:rPr>
          <w:rFonts w:ascii="Arial" w:cs="Arial" w:eastAsia="Arial" w:hAnsi="Arial"/>
          <w:i/>
          <w:iCs/>
          <w:sz w:val="24"/>
          <w:szCs w:val="24"/>
        </w:rPr>
        <w:t xml:space="preserve">, </w:t>
      </w:r>
      <w:hyperlink w:history="1" r:id="rIdrwjyjquq9vj7odemapswo">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отбора участников государственной жилищной программы Кыргызской Республики "Менин үйүм"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ПИН, присвоенный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документа)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Серия, номер, выдан (дата выдачи, наименование органа выдачи)</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Адрес фактического проживания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город Бишкек, проспект Чынгыза Айтматова, № 1,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Министерства цифрового развития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dnr0uynpw4b8edisgp2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hyperlink w:history="1" r:id="rIdhxgeanyrfzobzym3tse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w:t>
      </w:r>
      <w:hyperlink w:history="1" r:id="rIdriorrwfcbtem_hyvqf9iz">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hyperlink w:history="1" r:id="rIdrjwb9b-dkmkbgp7f2qb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hyperlink w:history="1" r:id="rIdu1z_yd-saqpszur_nipmj">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loo0iltlzwofx2ioct9y">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20__года             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20__года             __________________________________</w:t>
      </w:r>
    </w:p>
    <w:p>
      <w:pPr>
        <w:spacing w:after="60"/>
        <w:ind w:firstLine="567"/>
        <w:jc w:val="both"/>
      </w:pPr>
      <w:r>
        <w:rPr>
          <w:rFonts w:ascii="Arial" w:cs="Arial" w:eastAsia="Arial" w:hAnsi="Arial"/>
          <w:sz w:val="24"/>
          <w:szCs w:val="24"/>
        </w:rPr>
        <w:t xml:space="preserve">                                                                                       (ФИО уполномоченного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(подпись)</w:t>
      </w:r>
    </w:p>
    <w:p>
      <w:pPr>
        <w:spacing w:after="120" w:before="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jd_-8x7yn6xh-sv-3ie">
      <w:r>
        <w:rPr>
          <w:rFonts w:ascii="Arial" w:cs="Arial" w:eastAsia="Arial" w:hAnsi="Arial"/>
          <w:color w:val="132D3F"/>
          <w:sz w:val="16"/>
          <w:szCs w:val="16"/>
          <w:u w:val="single"/>
        </w:rPr>
        <w:t xml:space="preserve">dalil.kg/document/230012123</w:t>
      </w:r>
    </w:hyperlink>
  </w:p>
  <w:p>
    <w:pPr>
      <w:spacing w:after="0" w:before="40"/>
      <w:jc w:val="center"/>
    </w:pPr>
    <w:hyperlink w:history="1" r:id="rIdzw8-snjx17bbv08te5j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_shjor2_v0ulwyrcmfsc" Type="http://schemas.openxmlformats.org/officeDocument/2006/relationships/hyperlink" Target="https://dalil.kg/document/230012114" TargetMode="External"/><Relationship Id="rId9ts4qgpygz32nmudaw-bb" Type="http://schemas.openxmlformats.org/officeDocument/2006/relationships/hyperlink" Target="https://dalil.kg/document/230017412" TargetMode="External"/><Relationship Id="rIdcb5vnfikprudqiuv-wwbl" Type="http://schemas.openxmlformats.org/officeDocument/2006/relationships/hyperlink" Target="https://dalil.kg/document/230036222" TargetMode="External"/><Relationship Id="rIddcalma1p0ibltb372bmci" Type="http://schemas.openxmlformats.org/officeDocument/2006/relationships/hyperlink" Target="https://dalil.kg/document/230046718" TargetMode="External"/><Relationship Id="rIddb-fjubvdumletk0ul7ha" Type="http://schemas.openxmlformats.org/officeDocument/2006/relationships/hyperlink" Target="https://dalil.kg/document/230046718" TargetMode="External"/><Relationship Id="rId6jkf2vhblfts9_wczudu2" Type="http://schemas.openxmlformats.org/officeDocument/2006/relationships/hyperlink" Target="https://dalil.kg/document/230046718" TargetMode="External"/><Relationship Id="rIdcfpf5nmppeicdm87ndfm6" Type="http://schemas.openxmlformats.org/officeDocument/2006/relationships/hyperlink" Target="https://dalil.kg/document/230046718" TargetMode="External"/><Relationship Id="rId3p6nz-uqmaayg911xffxj" Type="http://schemas.openxmlformats.org/officeDocument/2006/relationships/hyperlink" Target="https://dalil.kg/document/230046718" TargetMode="External"/><Relationship Id="rIdqynqb2qk0kakzbsj4-lco" Type="http://schemas.openxmlformats.org/officeDocument/2006/relationships/hyperlink" Target="https://dalil.kg/document/230017412" TargetMode="External"/><Relationship Id="rIdqhppmj-m5ihkow_gi_diq" Type="http://schemas.openxmlformats.org/officeDocument/2006/relationships/hyperlink" Target="https://dalil.kg/document/230036222" TargetMode="External"/><Relationship Id="rIdvtz4ug_nvtyoafutjjrud" Type="http://schemas.openxmlformats.org/officeDocument/2006/relationships/hyperlink" Target="https://dalil.kg/document/230046718" TargetMode="External"/><Relationship Id="rIdik2zspwnvr5cip4ypwoz6" Type="http://schemas.openxmlformats.org/officeDocument/2006/relationships/hyperlink" Target="https://dalil.kg/document/158357" TargetMode="External"/><Relationship Id="rIdukgmstit5zi8lhcv9aomm" Type="http://schemas.openxmlformats.org/officeDocument/2006/relationships/hyperlink" Target="https://dalil.kg/document/158356" TargetMode="External"/><Relationship Id="rIdephxekqtx4b5l9oqdtqq4" Type="http://schemas.openxmlformats.org/officeDocument/2006/relationships/hyperlink" Target="https://dalil.kg/document/158357" TargetMode="External"/><Relationship Id="rIdctiacb2ofzqlziu21s1z_" Type="http://schemas.openxmlformats.org/officeDocument/2006/relationships/hyperlink" Target="https://dalil.kg/document/230046718" TargetMode="External"/><Relationship Id="rIdxiptqn-i2xrfwuorlpkod" Type="http://schemas.openxmlformats.org/officeDocument/2006/relationships/hyperlink" Target="https://dalil.kg/document/230046718" TargetMode="External"/><Relationship Id="rIdgsenxp0vxpqjrt5pjoao8" Type="http://schemas.openxmlformats.org/officeDocument/2006/relationships/hyperlink" Target="https://dalil.kg/document/230046718" TargetMode="External"/><Relationship Id="rIdehr8yzmbncbzdfiyzsiio" Type="http://schemas.openxmlformats.org/officeDocument/2006/relationships/hyperlink" Target="https://dalil.kg/document/230046718" TargetMode="External"/><Relationship Id="rIdfmcjy5rcoedaudphbyqpf" Type="http://schemas.openxmlformats.org/officeDocument/2006/relationships/hyperlink" Target="https://dalil.kg/document/230046718" TargetMode="External"/><Relationship Id="rIduhflnitfs7jmvkaikfvuk" Type="http://schemas.openxmlformats.org/officeDocument/2006/relationships/hyperlink" Target="https://dalil.kg/document/230017412" TargetMode="External"/><Relationship Id="rIdosqstn3iddynod2cjsiyn" Type="http://schemas.openxmlformats.org/officeDocument/2006/relationships/hyperlink" Target="https://dalil.kg/document/111253" TargetMode="External"/><Relationship Id="rId2ozyz2zoufpbx_ezttkvp" Type="http://schemas.openxmlformats.org/officeDocument/2006/relationships/hyperlink" Target="https://dalil.kg/document/230017412" TargetMode="External"/><Relationship Id="rIdrwjyjquq9vj7odemapswo" Type="http://schemas.openxmlformats.org/officeDocument/2006/relationships/hyperlink" Target="https://dalil.kg/document/230046718" TargetMode="External"/><Relationship Id="rIddnr0uynpw4b8edisgp2wp" Type="http://schemas.openxmlformats.org/officeDocument/2006/relationships/hyperlink" Target="https://dalil.kg/document/202269" TargetMode="External"/><Relationship Id="rIdhxgeanyrfzobzym3tsebi" Type="http://schemas.openxmlformats.org/officeDocument/2006/relationships/hyperlink" Target="https://dalil.kg/document/202269" TargetMode="External"/><Relationship Id="rIdriorrwfcbtem_hyvqf9iz" Type="http://schemas.openxmlformats.org/officeDocument/2006/relationships/hyperlink" Target="https://dalil.kg/document/12001#pr" TargetMode="External"/><Relationship Id="rIdrjwb9b-dkmkbgp7f2qbaw" Type="http://schemas.openxmlformats.org/officeDocument/2006/relationships/hyperlink" Target="https://dalil.kg/document/12001" TargetMode="External"/><Relationship Id="rIdu1z_yd-saqpszur_nipmj" Type="http://schemas.openxmlformats.org/officeDocument/2006/relationships/hyperlink" Target="https://dalil.kg/document/202269#st_5" TargetMode="External"/><Relationship Id="rId-loo0iltlzwofx2ioct9y"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jd_-8x7yn6xh-sv-3ie" Type="http://schemas.openxmlformats.org/officeDocument/2006/relationships/hyperlink" Target="https://dalil.kg/document/230012123" TargetMode="External"/><Relationship Id="rIdzw8-snjx17bbv08te5j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2026-09-25T22:10:48.822Z</dcterms:created>
  <dcterms:modified xsi:type="dcterms:W3CDTF">2026-09-25T22:10:48.822Z</dcterms:modified>
</cp:coreProperties>
</file>

<file path=docProps/custom.xml><?xml version="1.0" encoding="utf-8"?>
<Properties xmlns="http://schemas.openxmlformats.org/officeDocument/2006/custom-properties" xmlns:vt="http://schemas.openxmlformats.org/officeDocument/2006/docPropsVTypes"/>
</file>