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40"/>
        <w:jc w:val="center"/>
      </w:pPr>
      <w:r>
        <w:rPr>
          <w:rFonts w:ascii="Arial" w:cs="Arial" w:eastAsia="Arial" w:hAnsi="Arial"/>
          <w:b/>
          <w:bCs/>
          <w:sz w:val="32"/>
          <w:szCs w:val="32"/>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spacing w:after="240" w:before="240"/>
        <w:jc w:val="center"/>
      </w:pPr>
      <w:r>
        <w:rPr>
          <w:rFonts w:ascii="Arial" w:cs="Arial" w:eastAsia="Arial" w:hAnsi="Arial"/>
          <w:b/>
          <w:bCs/>
          <w:sz w:val="32"/>
          <w:szCs w:val="32"/>
        </w:rPr>
        <w:t xml:space="preserve">ПРИКАЗ</w:t>
      </w:r>
    </w:p>
    <w:p>
      <w:pPr>
        <w:spacing w:after="240" w:before="240"/>
        <w:jc w:val="both"/>
      </w:pPr>
      <w:r>
        <w:rPr>
          <w:rFonts w:ascii="Arial" w:cs="Arial" w:eastAsia="Arial" w:hAnsi="Arial"/>
          <w:sz w:val="24"/>
          <w:szCs w:val="24"/>
        </w:rPr>
        <w:t xml:space="preserve">от 28 августа 2024 года № 77-нпа</w:t>
      </w:r>
    </w:p>
    <w:p>
      <w:pPr>
        <w:spacing w:after="240" w:before="200"/>
        <w:jc w:val="center"/>
      </w:pPr>
      <w:r>
        <w:rPr>
          <w:rFonts w:ascii="Arial" w:cs="Arial" w:eastAsia="Arial" w:hAnsi="Arial"/>
          <w:b/>
          <w:bCs/>
          <w:sz w:val="28"/>
          <w:szCs w:val="28"/>
        </w:rPr>
        <w:t xml:space="preserve">«О внесении изменений в приказ Государственного агентства архитектуры, строительства и жилищно-коммунального хозяйства при Правительстве Кыргызской Республики «Об утверждении Строительных норм Кыргызской Республики СН КР 30-01:2020 «Планировка и застройка городов и населенных пунктов городского типа» от 24 марта 2020 года № 39-нпа»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регулирования отношений, возникающие в связи с организацией парковочных мест и стоянок в городах, а также отношения, связанные с размещением автомототранспортных средств на территории городов Кыргызской Республики, а также решения проблем в сфере архитектурно-градостроительной деятельности, руководствуясь </w:t>
      </w:r>
      <w:hyperlink w:history="1" r:id="rIdvvguhwuyzahasdtxgf6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и Положением о Государственном агентстве архитектуры, строительства и жилищно-коммунального хозяйства при Кабинете Министров Кыргызской Республики (далее - Госстрой), утвержденным </w:t>
      </w:r>
      <w:hyperlink w:history="1" r:id="rIdmnvfl8-afocwjguj8qd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июня 2021 года № 44, </w:t>
      </w:r>
      <w:r>
        <w:rPr>
          <w:rFonts w:ascii="Arial" w:cs="Arial" w:eastAsia="Arial" w:hAnsi="Arial"/>
          <w:b/>
          <w:bCs/>
          <w:sz w:val="24"/>
          <w:szCs w:val="24"/>
        </w:rPr>
        <w:t xml:space="preserve">приказываю:</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Внести в Строительные нормы Кыргызской Республики СН КР 30-01:2020 «</w:t>
      </w:r>
      <w:hyperlink w:history="1" r:id="rIdmebc0bis9krr76bldoulj">
        <w:r>
          <w:rPr>
            <w:rFonts w:ascii="Arial" w:cs="Arial" w:eastAsia="Arial" w:hAnsi="Arial"/>
            <w:color w:val="1D4ED8"/>
            <w:sz w:val="24"/>
            <w:szCs w:val="24"/>
            <w:u w:val="single"/>
          </w:rPr>
          <w:t xml:space="preserve">Планировка и застройка городов и населенных пунктов городского типа</w:t>
        </w:r>
      </w:hyperlink>
      <w:r>
        <w:rPr>
          <w:rFonts w:ascii="Arial" w:cs="Arial" w:eastAsia="Arial" w:hAnsi="Arial"/>
          <w:sz w:val="24"/>
          <w:szCs w:val="24"/>
        </w:rPr>
        <w:t xml:space="preserve">» от 24 марта 2020 года № 39-нпа», следующие изменения: </w:t>
      </w:r>
    </w:p>
    <w:p>
      <w:pPr>
        <w:spacing w:after="120"/>
        <w:ind w:firstLine="708"/>
        <w:jc w:val="both"/>
      </w:pPr>
      <w:r>
        <w:rPr>
          <w:rFonts w:ascii="Arial" w:cs="Arial" w:eastAsia="Arial" w:hAnsi="Arial"/>
          <w:sz w:val="24"/>
          <w:szCs w:val="24"/>
        </w:rPr>
        <w:t xml:space="preserve">1) пункты 3.45 и 3.46 на официальном языке в разделе 3 «Основные понятия, используемые в настоящих строительных нормах» признать утратившими силу; </w:t>
      </w:r>
    </w:p>
    <w:p>
      <w:pPr>
        <w:spacing w:after="120"/>
        <w:ind w:firstLine="708"/>
        <w:jc w:val="both"/>
      </w:pPr>
      <w:r>
        <w:rPr>
          <w:rFonts w:ascii="Arial" w:cs="Arial" w:eastAsia="Arial" w:hAnsi="Arial"/>
          <w:sz w:val="24"/>
          <w:szCs w:val="24"/>
        </w:rPr>
        <w:t xml:space="preserve">2) пункты 3.47, 3.48, 3.49, 3.50, 3.51, 3.52, 3.53, 3.54, 3.55, 3.56, 3.57, 3.58, 3.59, 3.60, 3.61, 3.62, 3.63, 3.64, 3.65, 3.66, 3.67, 3,68 считать соответственно пунктами 3.45, 3.46, 3.47, 3.48, 3.49, 3.50, 3.51, 3.52, 3.53, 3.54, 3.55, 3.56, 3.57, 3.58, 3.59, 3.60, 3.61, 3.62, 3.63, 3.64, 3.65, 3.66;</w:t>
      </w:r>
    </w:p>
    <w:p>
      <w:pPr>
        <w:spacing w:after="120"/>
        <w:ind w:firstLine="708"/>
        <w:jc w:val="both"/>
      </w:pPr>
      <w:r>
        <w:rPr>
          <w:rFonts w:ascii="Arial" w:cs="Arial" w:eastAsia="Arial" w:hAnsi="Arial"/>
          <w:sz w:val="24"/>
          <w:szCs w:val="24"/>
        </w:rPr>
        <w:t xml:space="preserve">3) пункт 3.69 на официальном языке в разделе 3 «Основные понятия, используемые в настоящих строительных нормах» признать утратившим силу;</w:t>
      </w:r>
    </w:p>
    <w:p>
      <w:pPr>
        <w:spacing w:after="120"/>
        <w:ind w:firstLine="708"/>
        <w:jc w:val="both"/>
      </w:pPr>
      <w:r>
        <w:rPr>
          <w:rFonts w:ascii="Arial" w:cs="Arial" w:eastAsia="Arial" w:hAnsi="Arial"/>
          <w:sz w:val="24"/>
          <w:szCs w:val="24"/>
        </w:rPr>
        <w:t xml:space="preserve">4) пункты 3.70, 3.71, 3.72, 3.73, 3.74, 3.75, 3.76, 3.77 считать соответственно пунктами 3.67, 3.68, 3.69, 3.70, 3.71, 3.72, 3.73, 3.74;</w:t>
      </w:r>
    </w:p>
    <w:p>
      <w:pPr>
        <w:spacing w:after="120"/>
        <w:ind w:firstLine="708"/>
        <w:jc w:val="both"/>
      </w:pPr>
      <w:r>
        <w:rPr>
          <w:rFonts w:ascii="Arial" w:cs="Arial" w:eastAsia="Arial" w:hAnsi="Arial"/>
          <w:sz w:val="24"/>
          <w:szCs w:val="24"/>
        </w:rPr>
        <w:t xml:space="preserve">5) раздел 3 «Основные понятия, используемые в настоящих строительных нормах» дополнить пунктами 3.75 - 3.81: </w:t>
      </w:r>
    </w:p>
    <w:p>
      <w:pPr>
        <w:spacing w:after="120"/>
        <w:ind w:firstLine="709"/>
        <w:jc w:val="both"/>
      </w:pPr>
      <w:r>
        <w:rPr>
          <w:rFonts w:ascii="Arial" w:cs="Arial" w:eastAsia="Arial" w:hAnsi="Arial"/>
          <w:sz w:val="24"/>
          <w:szCs w:val="24"/>
        </w:rPr>
        <w:t xml:space="preserve">«3.75 проезд: Улица, дорога внутри населённого пункта, один из основных элементов городской инфраструктуры;</w:t>
      </w:r>
    </w:p>
    <w:p>
      <w:pPr>
        <w:spacing w:after="120"/>
        <w:ind w:firstLine="709"/>
        <w:jc w:val="both"/>
      </w:pPr>
      <w:r>
        <w:rPr>
          <w:rFonts w:ascii="Arial" w:cs="Arial" w:eastAsia="Arial" w:hAnsi="Arial"/>
          <w:sz w:val="24"/>
          <w:szCs w:val="24"/>
        </w:rPr>
        <w:t xml:space="preserve">«3.76 подъезд к зданию: Дороги или пешеходные пути, обеспечивающие доступ к зданию, сооружению или какому-либо объекту;</w:t>
      </w:r>
    </w:p>
    <w:p>
      <w:pPr>
        <w:spacing w:after="120"/>
        <w:ind w:firstLine="709"/>
        <w:jc w:val="both"/>
      </w:pPr>
      <w:r>
        <w:rPr>
          <w:rFonts w:ascii="Arial" w:cs="Arial" w:eastAsia="Arial" w:hAnsi="Arial"/>
          <w:sz w:val="24"/>
          <w:szCs w:val="24"/>
        </w:rPr>
        <w:t xml:space="preserve">«3.77 противопожарный разрыв (противопожарное расстояние): Нормируемое расстояние между зданиями и (или) сооружениями, устанавливаемое для предотвращения распространения пожара;</w:t>
      </w:r>
    </w:p>
    <w:p>
      <w:pPr>
        <w:spacing w:after="120"/>
        <w:ind w:firstLine="709"/>
        <w:jc w:val="both"/>
      </w:pPr>
      <w:r>
        <w:rPr>
          <w:rFonts w:ascii="Arial" w:cs="Arial" w:eastAsia="Arial" w:hAnsi="Arial"/>
          <w:sz w:val="24"/>
          <w:szCs w:val="24"/>
        </w:rPr>
        <w:t xml:space="preserve">«3.78 общественные здания: Здания и их помещения, предназначены для размещения, предприятий, организаций, предоставляющих услуги (обслуживающих) торговли, воспитания, бытового обслуживания, развлечения и т.д;</w:t>
      </w:r>
    </w:p>
    <w:p>
      <w:pPr>
        <w:spacing w:after="120"/>
        <w:ind w:firstLine="709"/>
        <w:jc w:val="both"/>
      </w:pPr>
      <w:r>
        <w:rPr>
          <w:rFonts w:ascii="Arial" w:cs="Arial" w:eastAsia="Arial" w:hAnsi="Arial"/>
          <w:sz w:val="24"/>
          <w:szCs w:val="24"/>
        </w:rPr>
        <w:t xml:space="preserve"> «3.79 реконструкция градостроительная: Это целенаправленная деятельность по изменению ранее сформировавшейся планировочной системы города или составляющих ее элементов, обусловленная потребностями совершенствования и развития этой системы. Реконструкция предусматривает трансформацию планировочной системы как сохранение сложившейся структуры до почти полной ее замены. Как правило, чаще всего употребление этого термина предполагает сохранение значительной части старых элементов при существенном изменении целого;</w:t>
      </w:r>
    </w:p>
    <w:p>
      <w:pPr>
        <w:spacing w:after="120"/>
        <w:ind w:firstLine="709"/>
        <w:jc w:val="both"/>
      </w:pPr>
      <w:r>
        <w:rPr>
          <w:rFonts w:ascii="Arial" w:cs="Arial" w:eastAsia="Arial" w:hAnsi="Arial"/>
          <w:sz w:val="24"/>
          <w:szCs w:val="24"/>
        </w:rPr>
        <w:t xml:space="preserve">«3.80 градостроительный комплекс: Группа жилых и общественных объектов, производственных и других сооружений, обеспеченные необходимыми видами инженерного оборудования, благоустройства и объединённые функциональным и композиционным единством;</w:t>
      </w:r>
    </w:p>
    <w:p>
      <w:pPr>
        <w:spacing w:after="120"/>
        <w:ind w:firstLine="709"/>
        <w:jc w:val="both"/>
      </w:pPr>
      <w:r>
        <w:rPr>
          <w:rFonts w:ascii="Arial" w:cs="Arial" w:eastAsia="Arial" w:hAnsi="Arial"/>
          <w:sz w:val="24"/>
          <w:szCs w:val="24"/>
        </w:rPr>
        <w:t xml:space="preserve">«3.81 полезная площадь здания: Полезная площадь здания определяется как сумма площадей всех размещаемых в нем помещений, а также балконов и антресолей в залах, фойе и т. п., за исключением лестничных клеток, лифтовых шахт, внутренних открытых лестниц и пандусов.</w:t>
      </w:r>
    </w:p>
    <w:p>
      <w:pPr>
        <w:spacing w:after="120"/>
        <w:ind w:firstLine="709"/>
        <w:jc w:val="both"/>
      </w:pPr>
      <w:r>
        <w:rPr>
          <w:rFonts w:ascii="Arial" w:cs="Arial" w:eastAsia="Arial" w:hAnsi="Arial"/>
          <w:sz w:val="24"/>
          <w:szCs w:val="24"/>
        </w:rPr>
        <w:t xml:space="preserve">6) пункт 4.15 в разделе 4 «Концепция развития и общая организация территорий городов и населенных пунктов» дополнить подпунктами 4.15.1-4.15.3 следующего содержания:</w:t>
      </w:r>
    </w:p>
    <w:p>
      <w:pPr>
        <w:spacing w:after="120"/>
        <w:ind w:firstLine="709"/>
        <w:jc w:val="both"/>
      </w:pPr>
      <w:r>
        <w:rPr>
          <w:rFonts w:ascii="Arial" w:cs="Arial" w:eastAsia="Arial" w:hAnsi="Arial"/>
          <w:sz w:val="24"/>
          <w:szCs w:val="24"/>
        </w:rPr>
        <w:t xml:space="preserve">4.15.1. Проектирование, строительство жилых домов, общественных и других зданий и сооружений осуществляется в виде градостроительного комплекса с единым архитектурно-пространственным решением.</w:t>
      </w:r>
    </w:p>
    <w:p>
      <w:pPr>
        <w:spacing w:after="120"/>
        <w:ind w:firstLine="709"/>
        <w:jc w:val="both"/>
      </w:pPr>
      <w:r>
        <w:rPr>
          <w:rFonts w:ascii="Arial" w:cs="Arial" w:eastAsia="Arial" w:hAnsi="Arial"/>
          <w:sz w:val="24"/>
          <w:szCs w:val="24"/>
        </w:rPr>
        <w:t xml:space="preserve">4.15.2. Состав и границы градостроительных комплексов определяются в соответствии с проектом объемно-пространственной организации территории - проектом детальной планировки и проектом застройки.</w:t>
      </w:r>
    </w:p>
    <w:p>
      <w:pPr>
        <w:spacing w:after="120"/>
        <w:ind w:firstLine="709"/>
        <w:jc w:val="both"/>
      </w:pPr>
      <w:r>
        <w:rPr>
          <w:rFonts w:ascii="Arial" w:cs="Arial" w:eastAsia="Arial" w:hAnsi="Arial"/>
          <w:sz w:val="24"/>
          <w:szCs w:val="24"/>
        </w:rPr>
        <w:t xml:space="preserve">4.15.3. Проектирование и строительство градостроительного комплекса на отведенном участке ведется совместно с работами по обеспечению участка дорогами и магистральными инженерными сетями.</w:t>
      </w:r>
    </w:p>
    <w:p>
      <w:pPr>
        <w:spacing w:after="120"/>
        <w:ind w:firstLine="709"/>
        <w:jc w:val="both"/>
      </w:pPr>
      <w:r>
        <w:rPr>
          <w:rFonts w:ascii="Arial" w:cs="Arial" w:eastAsia="Arial" w:hAnsi="Arial"/>
          <w:sz w:val="24"/>
          <w:szCs w:val="24"/>
        </w:rPr>
        <w:t xml:space="preserve">7) абзац пятый пункта 5.3 в разделе 5 «Селитебная территория», изложить в следующей редакции: </w:t>
      </w:r>
    </w:p>
    <w:p>
      <w:pPr>
        <w:spacing w:after="120"/>
        <w:ind w:firstLine="709"/>
        <w:jc w:val="both"/>
      </w:pPr>
      <w:r>
        <w:rPr>
          <w:rFonts w:ascii="Arial" w:cs="Arial" w:eastAsia="Arial" w:hAnsi="Arial"/>
          <w:sz w:val="24"/>
          <w:szCs w:val="24"/>
        </w:rPr>
        <w:t xml:space="preserve">5.3 Размещение индивидуальной жилой застройки в городах необходимо предусматривать с учетом озеленения, благоустройства и инженерного оборудования территории, размещения учреждений и предприятий обслуживания повседневного пользования. </w:t>
      </w:r>
    </w:p>
    <w:p>
      <w:pPr>
        <w:spacing w:after="120"/>
        <w:ind w:firstLine="709"/>
        <w:jc w:val="both"/>
      </w:pPr>
      <w:r>
        <w:rPr>
          <w:rFonts w:ascii="Arial" w:cs="Arial" w:eastAsia="Arial" w:hAnsi="Arial"/>
          <w:sz w:val="24"/>
          <w:szCs w:val="24"/>
        </w:rPr>
        <w:t xml:space="preserve">Расстояние от индивидуальных жилых домов и хозяйственных построек до границ земельного участка должно соответствовать нормам пожарной безопасности согласно приложению А, не менее 1 м, в целях обеспечения доступа, а также текущего ремонта. </w:t>
      </w:r>
    </w:p>
    <w:p>
      <w:pPr>
        <w:spacing w:after="120"/>
        <w:ind w:firstLine="708"/>
        <w:jc w:val="both"/>
      </w:pPr>
      <w:r>
        <w:rPr>
          <w:rFonts w:ascii="Arial" w:cs="Arial" w:eastAsia="Arial" w:hAnsi="Arial"/>
          <w:sz w:val="24"/>
          <w:szCs w:val="24"/>
        </w:rPr>
        <w:t xml:space="preserve">8) в пункте 5.11 в разделе 5 «Селитебная территория», слова «приложении 1» заменить словами «приложении А»</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9) в таблице 1 пункта 5.12 в разделе 5 «Селитебная территория»:</w:t>
      </w:r>
    </w:p>
    <w:p>
      <w:pPr>
        <w:spacing w:after="120"/>
        <w:ind w:firstLine="708"/>
        <w:jc w:val="both"/>
      </w:pPr>
      <w:r>
        <w:rPr>
          <w:rFonts w:ascii="Arial" w:cs="Arial" w:eastAsia="Arial" w:hAnsi="Arial"/>
          <w:sz w:val="24"/>
          <w:szCs w:val="24"/>
        </w:rPr>
        <w:t xml:space="preserve">- в графе «Площадки» в четвертой строке слова «и выгула собак» исключить; </w:t>
      </w:r>
    </w:p>
    <w:p>
      <w:pPr>
        <w:spacing w:after="120"/>
        <w:ind w:firstLine="708"/>
        <w:jc w:val="both"/>
      </w:pPr>
      <w:r>
        <w:rPr>
          <w:rFonts w:ascii="Arial" w:cs="Arial" w:eastAsia="Arial" w:hAnsi="Arial"/>
          <w:sz w:val="24"/>
          <w:szCs w:val="24"/>
        </w:rPr>
        <w:t xml:space="preserve">- в графе «Площадки» в пятой строке слова «Для стоянки автомашин» заменить словами «Для выгула собак»;</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графе</w:t>
      </w:r>
      <w:r>
        <w:rPr>
          <w:rFonts w:ascii="Arial" w:cs="Arial" w:eastAsia="Arial" w:hAnsi="Arial"/>
          <w:sz w:val="24"/>
          <w:szCs w:val="24"/>
        </w:rPr>
        <w:t xml:space="preserve">«Удельные размеры площадок, м2/ чел.» </w:t>
      </w:r>
      <w:r>
        <w:rPr>
          <w:rFonts w:ascii="Arial" w:cs="Arial" w:eastAsia="Arial" w:hAnsi="Arial"/>
          <w:sz w:val="24"/>
          <w:szCs w:val="24"/>
        </w:rPr>
        <w:t xml:space="preserve">в пятой строке цифры «0,8» заменить цифрами «0,3»; </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графе</w:t>
      </w:r>
      <w:r>
        <w:rPr>
          <w:rFonts w:ascii="Arial" w:cs="Arial" w:eastAsia="Arial" w:hAnsi="Arial"/>
          <w:sz w:val="24"/>
          <w:szCs w:val="24"/>
        </w:rPr>
        <w:t xml:space="preserve">«Расстояния от площадок до окон жилых и общественных зданий, не менее м.» </w:t>
      </w:r>
      <w:r>
        <w:rPr>
          <w:rFonts w:ascii="Arial" w:cs="Arial" w:eastAsia="Arial" w:hAnsi="Arial"/>
          <w:sz w:val="24"/>
          <w:szCs w:val="24"/>
        </w:rPr>
        <w:t xml:space="preserve">в четвертой строке цифры «15» заменить словами «для хозяйственных целей 20»; </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графе</w:t>
      </w:r>
      <w:r>
        <w:rPr>
          <w:rFonts w:ascii="Arial" w:cs="Arial" w:eastAsia="Arial" w:hAnsi="Arial"/>
          <w:sz w:val="24"/>
          <w:szCs w:val="24"/>
        </w:rPr>
        <w:t xml:space="preserve">«Расстояния от площадок до окон жилых и общественных зданий, не менее м.» </w:t>
      </w:r>
      <w:r>
        <w:rPr>
          <w:rFonts w:ascii="Arial" w:cs="Arial" w:eastAsia="Arial" w:hAnsi="Arial"/>
          <w:sz w:val="24"/>
          <w:szCs w:val="24"/>
        </w:rPr>
        <w:t xml:space="preserve">в пятой строке изложить в следующей редакции: </w:t>
      </w:r>
    </w:p>
    <w:p>
      <w:pPr>
        <w:spacing w:after="120"/>
        <w:ind w:firstLine="708"/>
        <w:jc w:val="both"/>
      </w:pPr>
      <w:r>
        <w:rPr>
          <w:rFonts w:ascii="Arial" w:cs="Arial" w:eastAsia="Arial" w:hAnsi="Arial"/>
          <w:sz w:val="24"/>
          <w:szCs w:val="24"/>
        </w:rPr>
        <w:t xml:space="preserve">«для хозяйственных целей 40». </w:t>
      </w:r>
    </w:p>
    <w:p>
      <w:pPr>
        <w:spacing w:after="120"/>
        <w:ind w:firstLine="708"/>
        <w:jc w:val="both"/>
      </w:pPr>
      <w:r>
        <w:rPr>
          <w:rFonts w:ascii="Arial" w:cs="Arial" w:eastAsia="Arial" w:hAnsi="Arial"/>
          <w:sz w:val="24"/>
          <w:szCs w:val="24"/>
        </w:rPr>
        <w:t xml:space="preserve">10) пункт 5.12 на государственном языке в разделе 5 «Селитебная территория», дополнить пунктом 5.12.1 следующего содержания: </w:t>
      </w:r>
    </w:p>
    <w:p>
      <w:pPr>
        <w:spacing w:after="120"/>
        <w:ind w:firstLine="708"/>
        <w:jc w:val="both"/>
      </w:pPr>
      <w:r>
        <w:rPr>
          <w:rFonts w:ascii="Arial" w:cs="Arial" w:eastAsia="Arial" w:hAnsi="Arial"/>
          <w:sz w:val="24"/>
          <w:szCs w:val="24"/>
        </w:rPr>
        <w:t xml:space="preserve">«5.12.1 Аянтчалардын салыштырма өлчөмүн азайтууга жол берилет, бирок 50% дан ашык эмес: кичи райондун бирдиктүү дене тарбия - ден соолукту чыңдоо комплексин түзүүдө балдар оюндары үчүн, окуучулар жана калк үчүн чоңдордун эс алуусу, дене тарбия менен машыгуусу үчүн.»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11) пункт 5.7 в разделе 5 «Селитебная территория», дополнить абзацем пятым следующего содержания:</w:t>
      </w:r>
    </w:p>
    <w:p>
      <w:pPr>
        <w:spacing w:after="120"/>
        <w:ind w:firstLine="708"/>
        <w:jc w:val="both"/>
      </w:pPr>
      <w:r>
        <w:rPr>
          <w:rFonts w:ascii="Arial" w:cs="Arial" w:eastAsia="Arial" w:hAnsi="Arial"/>
          <w:sz w:val="24"/>
          <w:szCs w:val="24"/>
        </w:rPr>
        <w:t xml:space="preserve">При этом формирование жилой застройки осуществляется зданиями следующей этажности:</w:t>
      </w:r>
    </w:p>
    <w:p>
      <w:pPr>
        <w:spacing w:after="120"/>
        <w:ind w:firstLine="708"/>
        <w:jc w:val="both"/>
      </w:pPr>
      <w:r>
        <w:rPr>
          <w:rFonts w:ascii="Arial" w:cs="Arial" w:eastAsia="Arial" w:hAnsi="Arial"/>
          <w:sz w:val="24"/>
          <w:szCs w:val="24"/>
        </w:rPr>
        <w:t xml:space="preserve">Малоэтажные – 1-3 этажей;</w:t>
      </w:r>
    </w:p>
    <w:p>
      <w:pPr>
        <w:spacing w:after="120"/>
        <w:ind w:firstLine="708"/>
        <w:jc w:val="both"/>
      </w:pPr>
      <w:r>
        <w:rPr>
          <w:rFonts w:ascii="Arial" w:cs="Arial" w:eastAsia="Arial" w:hAnsi="Arial"/>
          <w:sz w:val="24"/>
          <w:szCs w:val="24"/>
        </w:rPr>
        <w:t xml:space="preserve">Средней этажности – 4-5 этажей;</w:t>
      </w:r>
    </w:p>
    <w:p>
      <w:pPr>
        <w:spacing w:after="120"/>
        <w:ind w:firstLine="708"/>
        <w:jc w:val="both"/>
      </w:pPr>
      <w:r>
        <w:rPr>
          <w:rFonts w:ascii="Arial" w:cs="Arial" w:eastAsia="Arial" w:hAnsi="Arial"/>
          <w:sz w:val="24"/>
          <w:szCs w:val="24"/>
        </w:rPr>
        <w:t xml:space="preserve">Многоэтажные – 6-12 этажей;</w:t>
      </w:r>
    </w:p>
    <w:p>
      <w:pPr>
        <w:spacing w:after="120"/>
        <w:ind w:firstLine="708"/>
        <w:jc w:val="both"/>
      </w:pPr>
      <w:r>
        <w:rPr>
          <w:rFonts w:ascii="Arial" w:cs="Arial" w:eastAsia="Arial" w:hAnsi="Arial"/>
          <w:sz w:val="24"/>
          <w:szCs w:val="24"/>
        </w:rPr>
        <w:t xml:space="preserve">Повышенной этажности – 13-18 этажей;</w:t>
      </w:r>
    </w:p>
    <w:p>
      <w:pPr>
        <w:spacing w:after="120"/>
        <w:ind w:firstLine="708"/>
        <w:jc w:val="both"/>
      </w:pPr>
      <w:r>
        <w:rPr>
          <w:rFonts w:ascii="Arial" w:cs="Arial" w:eastAsia="Arial" w:hAnsi="Arial"/>
          <w:sz w:val="24"/>
          <w:szCs w:val="24"/>
        </w:rPr>
        <w:t xml:space="preserve">Высотные – более 18 этажей. </w:t>
      </w:r>
    </w:p>
    <w:p>
      <w:pPr>
        <w:spacing w:after="120"/>
        <w:ind w:firstLine="708"/>
        <w:jc w:val="both"/>
      </w:pPr>
      <w:r>
        <w:rPr>
          <w:rFonts w:ascii="Arial" w:cs="Arial" w:eastAsia="Arial" w:hAnsi="Arial"/>
          <w:sz w:val="24"/>
          <w:szCs w:val="24"/>
        </w:rPr>
        <w:t xml:space="preserve">12) в абзаце первом в пункте 5.13 в разделе 5 «Селитебная территория», после слов «жилые» дополнить словами «и общественные»</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13)пункт 5.14 на государственном языке в разделе 5 «Селитебная территорияпризнать утратившим силу; </w:t>
      </w:r>
    </w:p>
    <w:p>
      <w:pPr>
        <w:spacing w:after="120"/>
        <w:ind w:firstLine="708"/>
        <w:jc w:val="both"/>
      </w:pPr>
      <w:r>
        <w:rPr>
          <w:rFonts w:ascii="Arial" w:cs="Arial" w:eastAsia="Arial" w:hAnsi="Arial"/>
          <w:sz w:val="24"/>
          <w:szCs w:val="24"/>
        </w:rPr>
        <w:t xml:space="preserve">14) пункты 5.15, 5.16 считать соответственно пунктами 5.14 и 5.15;</w:t>
      </w:r>
    </w:p>
    <w:p>
      <w:pPr>
        <w:spacing w:after="120"/>
        <w:ind w:firstLine="708"/>
        <w:jc w:val="both"/>
      </w:pPr>
      <w:r>
        <w:rPr>
          <w:rFonts w:ascii="Arial" w:cs="Arial" w:eastAsia="Arial" w:hAnsi="Arial"/>
          <w:sz w:val="24"/>
          <w:szCs w:val="24"/>
        </w:rPr>
        <w:t xml:space="preserve">15) пункт 5.14 в разделе 5 «Селитебная территория», дополнить абзацем вторым следующего содержания:</w:t>
      </w:r>
    </w:p>
    <w:p>
      <w:pPr>
        <w:spacing w:after="120"/>
        <w:ind w:firstLine="708"/>
        <w:jc w:val="both"/>
      </w:pPr>
      <w:r>
        <w:rPr>
          <w:rFonts w:ascii="Arial" w:cs="Arial" w:eastAsia="Arial" w:hAnsi="Arial"/>
          <w:sz w:val="24"/>
          <w:szCs w:val="24"/>
        </w:rPr>
        <w:t xml:space="preserve">Площадки для мусоросборников следует предусматривать в специально отведенных и доступных для спецтехники местах. </w:t>
      </w:r>
    </w:p>
    <w:p>
      <w:pPr>
        <w:spacing w:after="120"/>
        <w:ind w:firstLine="708"/>
        <w:jc w:val="both"/>
      </w:pPr>
      <w:r>
        <w:rPr>
          <w:rFonts w:ascii="Arial" w:cs="Arial" w:eastAsia="Arial" w:hAnsi="Arial"/>
          <w:sz w:val="24"/>
          <w:szCs w:val="24"/>
        </w:rPr>
        <w:t xml:space="preserve">16)пункт 5.15 в разделе 5 «Селитебная территория» слова «рекомендуемого приложения 4» заменить словами «приложения Г»</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17) в пункте 7.1 в разделе 7 «Ландшафтно-рекреационная территория», изложить в следующей редакции:</w:t>
      </w:r>
    </w:p>
    <w:p>
      <w:pPr>
        <w:spacing w:after="120"/>
        <w:ind w:firstLine="708"/>
        <w:jc w:val="both"/>
      </w:pPr>
      <w:r>
        <w:rPr>
          <w:rFonts w:ascii="Arial" w:cs="Arial" w:eastAsia="Arial" w:hAnsi="Arial"/>
          <w:sz w:val="24"/>
          <w:szCs w:val="24"/>
        </w:rPr>
        <w:t xml:space="preserve">«7.1 В городах и населенных пунктах городского типа при разработке градостроительной документации необходимо предусматривать, непрерывную систему озелененных территорий и других открытых пространств. При этом границы, классификация и функциональное назначение отмеченных озелененных территорий уточняются на стадии детализации от общего к частному. </w:t>
      </w:r>
    </w:p>
    <w:p>
      <w:pPr>
        <w:spacing w:after="120"/>
        <w:ind w:firstLine="708"/>
        <w:jc w:val="both"/>
      </w:pPr>
      <w:r>
        <w:rPr>
          <w:rFonts w:ascii="Arial" w:cs="Arial" w:eastAsia="Arial" w:hAnsi="Arial"/>
          <w:sz w:val="24"/>
          <w:szCs w:val="24"/>
        </w:rPr>
        <w:t xml:space="preserve">18) пункт 7.5 в разделе 7 «Ландшафтно-рекреационная территория»,</w:t>
      </w:r>
    </w:p>
    <w:p>
      <w:pPr>
        <w:spacing w:after="120"/>
        <w:jc w:val="both"/>
      </w:pPr>
      <w:r>
        <w:rPr>
          <w:rFonts w:ascii="Arial" w:cs="Arial" w:eastAsia="Arial" w:hAnsi="Arial"/>
          <w:sz w:val="24"/>
          <w:szCs w:val="24"/>
        </w:rPr>
        <w:t xml:space="preserve">в абзаце втором слова «рекомендуемого приложении 6» заменить словами «приложении Е»</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19) пункт 7.17 в разделе 7 «Ландшафтно-рекреационная территория», слова «рекомендуемого приложению 8» заменить словами «приложению З»;</w:t>
      </w:r>
    </w:p>
    <w:p>
      <w:pPr>
        <w:spacing w:after="120"/>
        <w:ind w:firstLine="708"/>
        <w:jc w:val="both"/>
      </w:pPr>
      <w:r>
        <w:rPr>
          <w:rFonts w:ascii="Arial" w:cs="Arial" w:eastAsia="Arial" w:hAnsi="Arial"/>
          <w:sz w:val="24"/>
          <w:szCs w:val="24"/>
        </w:rPr>
        <w:t xml:space="preserve">20) пункт 8.1 в разделе 8 «Учреждения и предприятия обслуживания» в абзаце третьем слова «рекомендуемом приложении 6» заменить словами «приложении Е»</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21) первый, </w:t>
      </w:r>
      <w:r>
        <w:rPr>
          <w:rFonts w:ascii="Arial" w:cs="Arial" w:eastAsia="Arial" w:hAnsi="Arial"/>
          <w:sz w:val="24"/>
          <w:szCs w:val="24"/>
        </w:rPr>
        <w:t xml:space="preserve">второй, третий и четвертый абзац после таблицы в разделе 8 «Учреждения и предприятия обслуживания» исключить</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22) после таблицы 5 в разделе 8 «Учреждения и предприятия обслуживания» изложить в следующей редакции:</w:t>
      </w:r>
    </w:p>
    <w:p>
      <w:pPr>
        <w:spacing w:after="120"/>
        <w:ind w:firstLine="709"/>
        <w:jc w:val="both"/>
      </w:pPr>
      <w:r>
        <w:rPr>
          <w:rFonts w:ascii="Arial" w:cs="Arial" w:eastAsia="Arial" w:hAnsi="Arial"/>
          <w:sz w:val="24"/>
          <w:szCs w:val="24"/>
        </w:rPr>
        <w:t xml:space="preserve">При новом строительстве, в условиях сложившейся затесненной застройки, допускается размещение детских дошкольных образовательных организаций во встроенных в жилые дома и во встроенно-пристроенных помещениях к жилым домам в соответствии с Приложением 5 постановления Правительства Кыргызской Республики «Об утверждении актов в области общественного здравоохранения» от 11.04.2016 года №201.</w:t>
      </w:r>
    </w:p>
    <w:p>
      <w:pPr>
        <w:spacing w:after="120"/>
        <w:ind w:firstLine="709"/>
        <w:jc w:val="both"/>
      </w:pPr>
      <w:r>
        <w:rPr>
          <w:rFonts w:ascii="Arial" w:cs="Arial" w:eastAsia="Arial" w:hAnsi="Arial"/>
          <w:sz w:val="24"/>
          <w:szCs w:val="24"/>
        </w:rPr>
        <w:t xml:space="preserve">22-1) Таблицу №7 пункта 9.15 дополнить примечанием следующего содержания: </w:t>
      </w:r>
    </w:p>
    <w:p>
      <w:pPr>
        <w:spacing w:after="120"/>
        <w:ind w:firstLine="709"/>
        <w:jc w:val="both"/>
      </w:pPr>
      <w:r>
        <w:rPr>
          <w:rFonts w:ascii="Arial" w:cs="Arial" w:eastAsia="Arial" w:hAnsi="Arial"/>
          <w:sz w:val="24"/>
          <w:szCs w:val="24"/>
        </w:rPr>
        <w:t xml:space="preserve">Примечания.</w:t>
      </w:r>
    </w:p>
    <w:p>
      <w:pPr>
        <w:spacing w:after="120"/>
        <w:ind w:firstLine="709"/>
        <w:jc w:val="both"/>
      </w:pPr>
      <w:r>
        <w:rPr>
          <w:rFonts w:ascii="Arial" w:cs="Arial" w:eastAsia="Arial" w:hAnsi="Arial"/>
          <w:sz w:val="24"/>
          <w:szCs w:val="24"/>
        </w:rPr>
        <w:t xml:space="preserve">1. Ширину пешеходной части тротуара необходимо принимать в зависимости от числа интенсивности пешеходов человека/час».</w:t>
      </w:r>
    </w:p>
    <w:p>
      <w:pPr>
        <w:spacing w:after="120"/>
        <w:ind w:firstLine="709"/>
        <w:jc w:val="both"/>
      </w:pPr>
      <w:r>
        <w:rPr>
          <w:rFonts w:ascii="Arial" w:cs="Arial" w:eastAsia="Arial" w:hAnsi="Arial"/>
          <w:sz w:val="24"/>
          <w:szCs w:val="24"/>
        </w:rPr>
        <w:t xml:space="preserve">2. Расчетные параметры улиц и дорог в городах и населенных пунктах которые не указаны в таблице №7 необходимо принимать в зависимости от расчетной скорости движения км/ч. согласно аналогичных действующих Строительных норм и правил на территории Кыргызской Республики».</w:t>
      </w:r>
    </w:p>
    <w:p>
      <w:pPr>
        <w:spacing w:after="120"/>
        <w:ind w:firstLine="709"/>
        <w:jc w:val="both"/>
      </w:pPr>
      <w:r>
        <w:rPr>
          <w:rFonts w:ascii="Arial" w:cs="Arial" w:eastAsia="Arial" w:hAnsi="Arial"/>
          <w:sz w:val="24"/>
          <w:szCs w:val="24"/>
        </w:rPr>
        <w:t xml:space="preserve">23) пункт 9.12 в разделе 9 «Транспорт и улично-дорожная сеть», слова «приложении 2» заменить словами «приложении Б»</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24) пункт 9.27 и подпункты 9.27.1, 9.27.2, 9.27.3 и 9.27.4 пункта 9.27 в разделе 9 «Транспорт и улично-дорожная сеть», изложить в следующей редакции:</w:t>
      </w:r>
    </w:p>
    <w:p>
      <w:pPr>
        <w:spacing w:after="120"/>
        <w:ind w:firstLine="709"/>
        <w:jc w:val="both"/>
      </w:pPr>
      <w:r>
        <w:rPr>
          <w:rFonts w:ascii="Arial" w:cs="Arial" w:eastAsia="Arial" w:hAnsi="Arial"/>
          <w:sz w:val="24"/>
          <w:szCs w:val="24"/>
        </w:rPr>
        <w:t xml:space="preserve">«9.27 На селитебных территориях необходимо предусматривать не менее 100% расчетного числа индивидуальных легковых автомобилей в подземных пространствах под общественными и жилыми зданиями, а также под придомовыми территориями в пределах кварталов, микрорайонов. </w:t>
      </w:r>
    </w:p>
    <w:p>
      <w:pPr>
        <w:spacing w:after="120"/>
        <w:ind w:firstLine="709"/>
        <w:jc w:val="both"/>
      </w:pPr>
      <w:r>
        <w:rPr>
          <w:rFonts w:ascii="Arial" w:cs="Arial" w:eastAsia="Arial" w:hAnsi="Arial"/>
          <w:sz w:val="24"/>
          <w:szCs w:val="24"/>
        </w:rPr>
        <w:t xml:space="preserve">В многоярусных стоянках и открытых площадках при пешеходной доступности не более 800 м, а в районах реконструкции или с неблагоприятной гидрогеологической обстановкой не более 1500 м.</w:t>
      </w:r>
    </w:p>
    <w:p>
      <w:pPr>
        <w:spacing w:after="120"/>
        <w:ind w:firstLine="709"/>
        <w:jc w:val="both"/>
      </w:pPr>
      <w:r>
        <w:rPr>
          <w:rFonts w:ascii="Arial" w:cs="Arial" w:eastAsia="Arial" w:hAnsi="Arial"/>
          <w:sz w:val="24"/>
          <w:szCs w:val="24"/>
        </w:rPr>
        <w:t xml:space="preserve">Из них, необходимо предусматривать, в том числе %:</w:t>
      </w:r>
    </w:p>
    <w:p>
      <w:pPr>
        <w:spacing w:after="120"/>
        <w:ind w:firstLine="709"/>
        <w:jc w:val="both"/>
      </w:pPr>
      <w:r>
        <w:rPr>
          <w:rFonts w:ascii="Arial" w:cs="Arial" w:eastAsia="Arial" w:hAnsi="Arial"/>
          <w:sz w:val="24"/>
          <w:szCs w:val="24"/>
        </w:rPr>
        <w:t xml:space="preserve">жилые районы (кварталы, микрорайоны) 50</w:t>
      </w:r>
    </w:p>
    <w:p>
      <w:pPr>
        <w:spacing w:after="120"/>
        <w:ind w:firstLine="709"/>
        <w:jc w:val="both"/>
      </w:pPr>
      <w:r>
        <w:rPr>
          <w:rFonts w:ascii="Arial" w:cs="Arial" w:eastAsia="Arial" w:hAnsi="Arial"/>
          <w:sz w:val="24"/>
          <w:szCs w:val="24"/>
        </w:rPr>
        <w:t xml:space="preserve">производственные и коммунально- складские зоны (районы) 10</w:t>
      </w:r>
    </w:p>
    <w:p>
      <w:pPr>
        <w:spacing w:after="120"/>
        <w:ind w:firstLine="709"/>
        <w:jc w:val="both"/>
      </w:pPr>
      <w:r>
        <w:rPr>
          <w:rFonts w:ascii="Arial" w:cs="Arial" w:eastAsia="Arial" w:hAnsi="Arial"/>
          <w:sz w:val="24"/>
          <w:szCs w:val="24"/>
        </w:rPr>
        <w:t xml:space="preserve">общегородские и специализированные центры 25</w:t>
      </w:r>
    </w:p>
    <w:p>
      <w:pPr>
        <w:spacing w:after="120"/>
        <w:ind w:firstLine="709"/>
        <w:jc w:val="both"/>
      </w:pPr>
      <w:r>
        <w:rPr>
          <w:rFonts w:ascii="Arial" w:cs="Arial" w:eastAsia="Arial" w:hAnsi="Arial"/>
          <w:sz w:val="24"/>
          <w:szCs w:val="24"/>
        </w:rPr>
        <w:t xml:space="preserve">зоны массового кратковременного отдыха 15</w:t>
      </w:r>
    </w:p>
    <w:p>
      <w:pPr>
        <w:spacing w:after="120"/>
        <w:ind w:firstLine="709"/>
        <w:jc w:val="both"/>
      </w:pPr>
      <w:r>
        <w:rPr>
          <w:rFonts w:ascii="Arial" w:cs="Arial" w:eastAsia="Arial" w:hAnsi="Arial"/>
          <w:sz w:val="24"/>
          <w:szCs w:val="24"/>
        </w:rPr>
        <w:t xml:space="preserve">Для размещения машино-мест в городах и населенных пунктах городского типа следует предусматривать места для постоянного и временного хранения автотранспорта автостоянки (стоянки, паркинги, парковки, гаражи, гаражи-стоянки), расположенные вблизи от мест проживания, </w:t>
      </w:r>
    </w:p>
    <w:p>
      <w:pPr>
        <w:spacing w:after="120"/>
        <w:ind w:firstLine="709"/>
        <w:jc w:val="both"/>
      </w:pPr>
      <w:r>
        <w:rPr>
          <w:rFonts w:ascii="Arial" w:cs="Arial" w:eastAsia="Arial" w:hAnsi="Arial"/>
          <w:sz w:val="24"/>
          <w:szCs w:val="24"/>
        </w:rPr>
        <w:t xml:space="preserve">Автостоянки могут представлять собой: здания, сооружения (часть здания, сооружения) или специальные открытые площадки, предназначенные для хранения (стоянки) легковых автомобилей и других мототранспортных средств (мотоциклов, мотороллеров, мотоколясок, мопедов, скутеров и т.п.).</w:t>
      </w:r>
    </w:p>
    <w:p>
      <w:pPr>
        <w:spacing w:after="120"/>
        <w:ind w:firstLine="709"/>
        <w:jc w:val="both"/>
      </w:pPr>
      <w:r>
        <w:rPr>
          <w:rFonts w:ascii="Arial" w:cs="Arial" w:eastAsia="Arial" w:hAnsi="Arial"/>
          <w:sz w:val="24"/>
          <w:szCs w:val="24"/>
        </w:rPr>
        <w:t xml:space="preserve">Постоянное (длительное) хранение автомобилей и других мототранспортных средств - это хранение автотранспортных средств более 12 часов на стоянках закрепленных за конкретными автовладельцами машино-местах.</w:t>
      </w:r>
    </w:p>
    <w:p>
      <w:pPr>
        <w:spacing w:after="120"/>
        <w:ind w:firstLine="709"/>
        <w:jc w:val="both"/>
      </w:pPr>
      <w:r>
        <w:rPr>
          <w:rFonts w:ascii="Arial" w:cs="Arial" w:eastAsia="Arial" w:hAnsi="Arial"/>
          <w:sz w:val="24"/>
          <w:szCs w:val="24"/>
        </w:rPr>
        <w:t xml:space="preserve"> «9.27.1 В зонах жилой застройки предусматриваются стоянки для постоянного и временного хранения легковых автомобилей населения при пешеходной доступности не более 800 м, а в районах реконструкции - не более 1200 м.</w:t>
      </w:r>
    </w:p>
    <w:p>
      <w:pPr>
        <w:spacing w:after="120"/>
        <w:ind w:firstLine="709"/>
        <w:jc w:val="both"/>
      </w:pPr>
      <w:r>
        <w:rPr>
          <w:rFonts w:ascii="Arial" w:cs="Arial" w:eastAsia="Arial" w:hAnsi="Arial"/>
          <w:sz w:val="24"/>
          <w:szCs w:val="24"/>
        </w:rPr>
        <w:t xml:space="preserve">На территории жилой застройки рекомендуется предусматривать стоянки, предназначенные для временного хранения автотранспорта посетителей жилой застройки, из расчета не менее 30 машино-мест на 1000 жителей.</w:t>
      </w:r>
    </w:p>
    <w:p>
      <w:pPr>
        <w:spacing w:after="120"/>
        <w:ind w:firstLine="709"/>
        <w:jc w:val="both"/>
      </w:pPr>
      <w:r>
        <w:rPr>
          <w:rFonts w:ascii="Arial" w:cs="Arial" w:eastAsia="Arial" w:hAnsi="Arial"/>
          <w:sz w:val="24"/>
          <w:szCs w:val="24"/>
        </w:rPr>
        <w:t xml:space="preserve">«9.27.2 Размещение открытых стоянок для временного и постоянного хранения автомобилей предусматривать за пределами проезжей части улиц и дорог, граничащих с жилыми районами и микрорайонами.</w:t>
      </w:r>
    </w:p>
    <w:p>
      <w:pPr>
        <w:spacing w:after="120"/>
        <w:ind w:firstLine="709"/>
        <w:jc w:val="both"/>
      </w:pPr>
      <w:r>
        <w:rPr>
          <w:rFonts w:ascii="Arial" w:cs="Arial" w:eastAsia="Arial" w:hAnsi="Arial"/>
          <w:sz w:val="24"/>
          <w:szCs w:val="24"/>
        </w:rPr>
        <w:t xml:space="preserve">«9.27.3 На территории жилых зон, в том числе жилых районов, микрорайонов рекомендуется предусматривать места для постоянного и временного хранения автомобилей в подземных, надземных и многоярусных пространствах под общественными и жилыми зданиями, а также под придомовыми территориями в пределах кварталов, микрорайонов и наземных стоянках автомобилей в соответствии с таблицей 7.1 и приложения З), с учетом уровня автомобилизации, принятого на расчетный срок.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Количество машино-мест для жилых зданий
 Таблица 7.1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8"/>
        <w:gridCol w:w="4950"/>
      </w:tblGrid>
      <w:tr>
        <w:tc>
          <w:tcPr>
            <w:tcW w:type="dxa" w:w="522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жилого дома по уровню жилищной обеспеченности</w:t>
            </w:r>
          </w:p>
        </w:tc>
        <w:tc>
          <w:tcPr>
            <w:tcW w:type="dxa" w:w="495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Хранение автотранспорта, машино-мест на квартиру</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18 кв м \чел. и выше</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кв м \чел</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менее 18 кв м\чел</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r>
              <w:rPr>
                <w:rFonts w:ascii="Arial" w:cs="Arial" w:eastAsia="Arial" w:hAnsi="Arial"/>
                <w:sz w:val="24"/>
                <w:szCs w:val="24"/>
              </w:rPr>
              <w:t xml:space="preserve">1. Допускается размещение машино-мест для хранения индивидуального транспорта, в т.ч. для ЛОВЗ, за пределами земельного участка жилой застройки в радиусе пешеходной доступности при условии организации подходов и размещения площадок отдыха в соответствии с требованиями СП КР 35-101:2018 </w:t>
            </w:r>
            <w:r>
              <w:rPr>
                <w:rFonts w:ascii="Arial" w:cs="Arial" w:eastAsia="Arial" w:hAnsi="Arial"/>
                <w:sz w:val="24"/>
                <w:szCs w:val="24"/>
              </w:rPr>
              <w:t xml:space="preserve">2. При проектировании жилых зданий и комплексов свыше 5-ти этажей, предусмотренные места для хранения автотранспортных средств в подземных гаражах и стоянках перепрофилированию не подлежат.</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проектировании микрорайонов, кварталов крупных и крупнейших городских населенных пунктов число мест хранения автомобилей определять исходя из уровня автомобилизации на расчетный срок, 350 легковых автомобилей на 1000 чел.. </w:t>
      </w:r>
    </w:p>
    <w:p>
      <w:pPr>
        <w:spacing w:after="120"/>
        <w:ind w:firstLine="709"/>
        <w:jc w:val="both"/>
      </w:pPr>
      <w:r>
        <w:rPr>
          <w:rFonts w:ascii="Arial" w:cs="Arial" w:eastAsia="Arial" w:hAnsi="Arial"/>
          <w:sz w:val="24"/>
          <w:szCs w:val="24"/>
        </w:rPr>
        <w:t xml:space="preserve">При определении общей потребности в местах для хранения необходимо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по заданию на проектирование</w:t>
      </w:r>
    </w:p>
    <w:p>
      <w:pPr>
        <w:spacing w:after="120"/>
        <w:ind w:firstLine="709"/>
        <w:jc w:val="both"/>
      </w:pPr>
      <w:r>
        <w:rPr>
          <w:rFonts w:ascii="Arial" w:cs="Arial" w:eastAsia="Arial" w:hAnsi="Arial"/>
          <w:sz w:val="24"/>
          <w:szCs w:val="24"/>
        </w:rPr>
        <w:t xml:space="preserve">мотоциклы и мотороллеры</w:t>
      </w:r>
    </w:p>
    <w:p>
      <w:pPr>
        <w:spacing w:after="120"/>
        <w:ind w:firstLine="709"/>
        <w:jc w:val="both"/>
      </w:pPr>
      <w:r>
        <w:rPr>
          <w:rFonts w:ascii="Arial" w:cs="Arial" w:eastAsia="Arial" w:hAnsi="Arial"/>
          <w:sz w:val="24"/>
          <w:szCs w:val="24"/>
        </w:rPr>
        <w:t xml:space="preserve">с колясками, мотоколяски 0,5</w:t>
      </w:r>
    </w:p>
    <w:p>
      <w:pPr>
        <w:spacing w:after="120"/>
        <w:ind w:firstLine="709"/>
        <w:jc w:val="both"/>
      </w:pPr>
      <w:r>
        <w:rPr>
          <w:rFonts w:ascii="Arial" w:cs="Arial" w:eastAsia="Arial" w:hAnsi="Arial"/>
          <w:sz w:val="24"/>
          <w:szCs w:val="24"/>
        </w:rPr>
        <w:t xml:space="preserve">мотоциклы и мотороллеры без колясок 0,25</w:t>
      </w:r>
    </w:p>
    <w:p>
      <w:pPr>
        <w:spacing w:after="120"/>
        <w:ind w:firstLine="709"/>
        <w:jc w:val="both"/>
      </w:pPr>
      <w:r>
        <w:rPr>
          <w:rFonts w:ascii="Arial" w:cs="Arial" w:eastAsia="Arial" w:hAnsi="Arial"/>
          <w:sz w:val="24"/>
          <w:szCs w:val="24"/>
        </w:rPr>
        <w:t xml:space="preserve">мопеды и велосипеды 0,1</w:t>
      </w:r>
    </w:p>
    <w:p>
      <w:pPr>
        <w:spacing w:after="120"/>
        <w:ind w:firstLine="709"/>
        <w:jc w:val="both"/>
      </w:pPr>
      <w:r>
        <w:rPr>
          <w:rFonts w:ascii="Arial" w:cs="Arial" w:eastAsia="Arial" w:hAnsi="Arial"/>
          <w:sz w:val="24"/>
          <w:szCs w:val="24"/>
        </w:rPr>
        <w:t xml:space="preserve">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следует выполнять в соответствии с требованиями СН КР 31-12:2018. </w:t>
      </w:r>
    </w:p>
    <w:p>
      <w:pPr>
        <w:spacing w:after="120"/>
        <w:ind w:firstLine="709"/>
        <w:jc w:val="both"/>
      </w:pPr>
      <w:r>
        <w:rPr>
          <w:rFonts w:ascii="Arial" w:cs="Arial" w:eastAsia="Arial" w:hAnsi="Arial"/>
          <w:sz w:val="24"/>
          <w:szCs w:val="24"/>
        </w:rPr>
        <w:t xml:space="preserve">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согласно СП КР 35-101:2018.</w:t>
      </w:r>
    </w:p>
    <w:p>
      <w:pPr>
        <w:spacing w:after="120"/>
        <w:ind w:firstLine="709"/>
        <w:jc w:val="both"/>
      </w:pPr>
      <w:r>
        <w:rPr>
          <w:rFonts w:ascii="Arial" w:cs="Arial" w:eastAsia="Arial" w:hAnsi="Arial"/>
          <w:sz w:val="24"/>
          <w:szCs w:val="24"/>
        </w:rPr>
        <w:t xml:space="preserve">Примечание - В районах с неблагоприятной обстановкой, ограничивающей или исключающей возможность устройства подземных стоянок автомобилей, требование первого абзаца настоящего пункта следует обеспечивать посредством строительства наземных и наземно-подземных сооружений с использованием кровли для спортивных и хозяйственных площадок.</w:t>
      </w:r>
    </w:p>
    <w:p>
      <w:pPr>
        <w:spacing w:after="120"/>
        <w:ind w:firstLine="709"/>
        <w:jc w:val="both"/>
      </w:pPr>
      <w:r>
        <w:rPr>
          <w:rFonts w:ascii="Arial" w:cs="Arial" w:eastAsia="Arial" w:hAnsi="Arial"/>
          <w:sz w:val="24"/>
          <w:szCs w:val="24"/>
        </w:rPr>
        <w:t xml:space="preserve">«9.27.4 Размещение наземных, подземных гаражей-стоянок, открытых площадок автомобилей, предназначенных для постоянного и временного хранения легковых автомобилей, следует выбирать с учетом градостроительной ситуации, архитектурно-планировочного решения участка строительства.</w:t>
      </w:r>
    </w:p>
    <w:p>
      <w:pPr>
        <w:spacing w:after="120"/>
        <w:ind w:firstLine="708"/>
        <w:jc w:val="both"/>
      </w:pPr>
      <w:r>
        <w:rPr>
          <w:rFonts w:ascii="Arial" w:cs="Arial" w:eastAsia="Arial" w:hAnsi="Arial"/>
          <w:sz w:val="24"/>
          <w:szCs w:val="24"/>
        </w:rPr>
        <w:t xml:space="preserve">25) пункт 9.31 в разделе 9 «Транспорт и улично-дорожная» слова «приложении 9» заменить словами «приложении И»;</w:t>
      </w:r>
    </w:p>
    <w:p>
      <w:pPr>
        <w:spacing w:after="120"/>
        <w:ind w:firstLine="708"/>
        <w:jc w:val="both"/>
      </w:pPr>
      <w:r>
        <w:rPr>
          <w:rFonts w:ascii="Arial" w:cs="Arial" w:eastAsia="Arial" w:hAnsi="Arial"/>
          <w:sz w:val="24"/>
          <w:szCs w:val="24"/>
        </w:rPr>
        <w:t xml:space="preserve">26) пункт 10.4 раздела 10 «Инженерное оборудование» изложить в следующей редакции:</w:t>
      </w:r>
    </w:p>
    <w:p>
      <w:pPr>
        <w:spacing w:after="120"/>
        <w:ind w:firstLine="708"/>
        <w:jc w:val="both"/>
      </w:pPr>
      <w:r>
        <w:rPr>
          <w:rFonts w:ascii="Arial" w:cs="Arial" w:eastAsia="Arial" w:hAnsi="Arial"/>
          <w:sz w:val="24"/>
          <w:szCs w:val="24"/>
        </w:rPr>
        <w:t xml:space="preserve">«10.4 При отсутствии централизованной системы канализации допускается предусматривать сливные станции и выгребные ямы по согласованию с местными органами санитарно-эпидемиологической службы.</w:t>
      </w:r>
    </w:p>
    <w:p>
      <w:pPr>
        <w:spacing w:after="120"/>
        <w:ind w:firstLine="708"/>
        <w:jc w:val="both"/>
      </w:pPr>
      <w:r>
        <w:rPr>
          <w:rFonts w:ascii="Arial" w:cs="Arial" w:eastAsia="Arial" w:hAnsi="Arial"/>
          <w:sz w:val="24"/>
          <w:szCs w:val="24"/>
        </w:rPr>
        <w:t xml:space="preserve">Размеры земельных участков, отводимых под сливные станции и их санитарно-защитные зоны, необходимо принимать по действующим нормативным документам.</w:t>
      </w:r>
    </w:p>
    <w:p>
      <w:pPr>
        <w:spacing w:after="120"/>
        <w:ind w:firstLine="708"/>
        <w:jc w:val="both"/>
      </w:pPr>
      <w:r>
        <w:rPr>
          <w:rFonts w:ascii="Arial" w:cs="Arial" w:eastAsia="Arial" w:hAnsi="Arial"/>
          <w:sz w:val="24"/>
          <w:szCs w:val="24"/>
        </w:rPr>
        <w:t xml:space="preserve">27) пункт 10.9 раздела 10 «Инженерное оборудование» дополнить абзацем вторым следующего содержания:</w:t>
      </w:r>
    </w:p>
    <w:p>
      <w:pPr>
        <w:spacing w:after="120"/>
        <w:ind w:firstLine="708"/>
        <w:jc w:val="both"/>
      </w:pPr>
      <w:r>
        <w:rPr>
          <w:rFonts w:ascii="Arial" w:cs="Arial" w:eastAsia="Arial" w:hAnsi="Arial"/>
          <w:sz w:val="24"/>
          <w:szCs w:val="24"/>
        </w:rPr>
        <w:t xml:space="preserve">Охранные зоны для ВЛ предусматривать в соответствии с нормативно-правовыми актами уполномоченного органа в сфере энергетики.</w:t>
      </w:r>
    </w:p>
    <w:p>
      <w:pPr>
        <w:spacing w:after="120"/>
        <w:ind w:firstLine="708"/>
        <w:jc w:val="both"/>
      </w:pPr>
      <w:r>
        <w:rPr>
          <w:rFonts w:ascii="Arial" w:cs="Arial" w:eastAsia="Arial" w:hAnsi="Arial"/>
          <w:sz w:val="24"/>
          <w:szCs w:val="24"/>
        </w:rPr>
        <w:t xml:space="preserve">При этом охранные зоны от ВЛ предусматриваются до границ участков детских площадок, физкультурных и хозяйственных площадок. Прохождение ВЛ выше 1000 В по придомовым территориям многоквартирных жилых домов не допускается.</w:t>
      </w:r>
    </w:p>
    <w:p>
      <w:pPr>
        <w:spacing w:after="120"/>
        <w:ind w:firstLine="708"/>
        <w:jc w:val="both"/>
      </w:pPr>
      <w:r>
        <w:rPr>
          <w:rFonts w:ascii="Arial" w:cs="Arial" w:eastAsia="Arial" w:hAnsi="Arial"/>
          <w:sz w:val="24"/>
          <w:szCs w:val="24"/>
        </w:rPr>
        <w:t xml:space="preserve">28)пункт 10.13 раздела 10 «Инженерное оборудование» изложить в следующей редакции:</w:t>
      </w:r>
    </w:p>
    <w:p>
      <w:pPr>
        <w:spacing w:after="120"/>
        <w:ind w:firstLine="708"/>
        <w:jc w:val="both"/>
      </w:pPr>
      <w:r>
        <w:rPr>
          <w:rFonts w:ascii="Arial" w:cs="Arial" w:eastAsia="Arial" w:hAnsi="Arial"/>
          <w:sz w:val="24"/>
          <w:szCs w:val="24"/>
        </w:rPr>
        <w:t xml:space="preserve">«10.13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1600 кВ*А с учетом выполнения шумозащитных мероприятий расстояние необходимо принимать не менее:</w:t>
      </w:r>
    </w:p>
    <w:p>
      <w:pPr>
        <w:spacing w:after="120"/>
        <w:ind w:firstLine="708"/>
        <w:jc w:val="both"/>
      </w:pPr>
      <w:r>
        <w:rPr>
          <w:rFonts w:ascii="Arial" w:cs="Arial" w:eastAsia="Arial" w:hAnsi="Arial"/>
          <w:sz w:val="24"/>
          <w:szCs w:val="24"/>
        </w:rPr>
        <w:t xml:space="preserve">- до окон жилых и общественных зданий -10 м;</w:t>
      </w:r>
    </w:p>
    <w:p>
      <w:pPr>
        <w:spacing w:after="120"/>
        <w:ind w:firstLine="708"/>
        <w:jc w:val="both"/>
      </w:pPr>
      <w:r>
        <w:rPr>
          <w:rFonts w:ascii="Arial" w:cs="Arial" w:eastAsia="Arial" w:hAnsi="Arial"/>
          <w:sz w:val="24"/>
          <w:szCs w:val="24"/>
        </w:rPr>
        <w:t xml:space="preserve">- до зданий лечебно-профилактических учреждений – 15 м, </w:t>
      </w:r>
    </w:p>
    <w:p>
      <w:pPr>
        <w:spacing w:after="120"/>
        <w:ind w:firstLine="708"/>
        <w:jc w:val="both"/>
      </w:pPr>
      <w:r>
        <w:rPr>
          <w:rFonts w:ascii="Arial" w:cs="Arial" w:eastAsia="Arial" w:hAnsi="Arial"/>
          <w:sz w:val="24"/>
          <w:szCs w:val="24"/>
        </w:rPr>
        <w:t xml:space="preserve">При размещении отдельно стоящих распределительных пунктов и трансформаторных подстанций напряжением 6-20 кВ мощностью каждого свыше 1600 кВ*А. выполненных в кирпичном исполнении, расстояние с учетом шумозащитных мероприятий необходимо принимать не менее:</w:t>
      </w:r>
    </w:p>
    <w:p>
      <w:pPr>
        <w:spacing w:after="120"/>
        <w:ind w:firstLine="708"/>
        <w:jc w:val="both"/>
      </w:pPr>
      <w:r>
        <w:rPr>
          <w:rFonts w:ascii="Arial" w:cs="Arial" w:eastAsia="Arial" w:hAnsi="Arial"/>
          <w:sz w:val="24"/>
          <w:szCs w:val="24"/>
        </w:rPr>
        <w:t xml:space="preserve"> -до окон жилых и общественных зданий -10 м,</w:t>
      </w:r>
    </w:p>
    <w:p>
      <w:pPr>
        <w:spacing w:after="120"/>
        <w:ind w:firstLine="708"/>
        <w:jc w:val="both"/>
      </w:pPr>
      <w:r>
        <w:rPr>
          <w:rFonts w:ascii="Arial" w:cs="Arial" w:eastAsia="Arial" w:hAnsi="Arial"/>
          <w:sz w:val="24"/>
          <w:szCs w:val="24"/>
        </w:rPr>
        <w:t xml:space="preserve"> - до зданий лечебно-профилактических учреждений – 15 м. </w:t>
      </w:r>
    </w:p>
    <w:p>
      <w:pPr>
        <w:spacing w:after="120"/>
        <w:ind w:firstLine="708"/>
        <w:jc w:val="both"/>
      </w:pPr>
      <w:r>
        <w:rPr>
          <w:rFonts w:ascii="Arial" w:cs="Arial" w:eastAsia="Arial" w:hAnsi="Arial"/>
          <w:sz w:val="24"/>
          <w:szCs w:val="24"/>
        </w:rPr>
        <w:t xml:space="preserve"> Расстояние от трансформаторных подстанций сухого типа от глухих стен жилых и общественных зданий не регламентируются при условии выполнения шумозащитных мероприятий. </w:t>
      </w:r>
    </w:p>
    <w:p>
      <w:pPr>
        <w:spacing w:after="120"/>
        <w:ind w:firstLine="708"/>
        <w:jc w:val="both"/>
      </w:pPr>
      <w:r>
        <w:rPr>
          <w:rFonts w:ascii="Arial" w:cs="Arial" w:eastAsia="Arial" w:hAnsi="Arial"/>
          <w:sz w:val="24"/>
          <w:szCs w:val="24"/>
        </w:rPr>
        <w:t xml:space="preserve">Допускается установка трансформаторных подстанций сухого типа в специальном помещении здания при выполнении необходимых технических и санитарных мероприятий. </w:t>
      </w:r>
    </w:p>
    <w:p>
      <w:pPr>
        <w:spacing w:after="120"/>
        <w:ind w:firstLine="708"/>
        <w:jc w:val="both"/>
      </w:pPr>
      <w:r>
        <w:rPr>
          <w:rFonts w:ascii="Arial" w:cs="Arial" w:eastAsia="Arial" w:hAnsi="Arial"/>
          <w:sz w:val="24"/>
          <w:szCs w:val="24"/>
        </w:rPr>
        <w:t xml:space="preserve">Охранная зона для открытых, закрытых или комплектных трансформаторных подстанций и переключательных пунктов: Устанавливается от ограждения ОРУ и силовых трансформаторов подстанции в виде части поверхности участка земли и воздушного пространства (на высоту, соответствующую высоте наивысшей точки ОРУ), ограниченной вертикальными плоскостями, отстоящими от всех сторон ограждения ОРУ и силовых трансформаторов подстанции по периметру на установленном расстоянии, применительно к высшему классу напряжения подстанции.</w:t>
      </w:r>
    </w:p>
    <w:p>
      <w:pPr>
        <w:spacing w:after="120"/>
        <w:ind w:firstLine="708"/>
        <w:jc w:val="both"/>
      </w:pPr>
      <w:r>
        <w:rPr>
          <w:rFonts w:ascii="Arial" w:cs="Arial" w:eastAsia="Arial" w:hAnsi="Arial"/>
          <w:sz w:val="24"/>
          <w:szCs w:val="24"/>
        </w:rPr>
        <w:t xml:space="preserve">29) абзац третий пункта 10.20 раздела 10 «Инженерное оборудование» изложить в следующей редакции:</w:t>
      </w:r>
    </w:p>
    <w:p>
      <w:pPr>
        <w:spacing w:after="120"/>
        <w:ind w:firstLine="708"/>
        <w:jc w:val="both"/>
      </w:pPr>
      <w:r>
        <w:rPr>
          <w:rFonts w:ascii="Arial" w:cs="Arial" w:eastAsia="Arial" w:hAnsi="Arial"/>
          <w:sz w:val="24"/>
          <w:szCs w:val="24"/>
        </w:rPr>
        <w:t xml:space="preserve">Электрические сети, линии связи и оптико-волоконные сети в селитебной территории необходимо прокладывать в подземном исполнении, в случае отсутствия технической возможности разрешается предусмотреть надземным способом. В индивидуальной жилой застройке электрические сети, линии связи и оптико-волоконные сети возможно выполнять воздушным способом.</w:t>
      </w:r>
    </w:p>
    <w:p>
      <w:pPr>
        <w:spacing w:after="120"/>
        <w:ind w:firstLine="708"/>
        <w:jc w:val="both"/>
      </w:pPr>
      <w:r>
        <w:rPr>
          <w:rFonts w:ascii="Arial" w:cs="Arial" w:eastAsia="Arial" w:hAnsi="Arial"/>
          <w:sz w:val="24"/>
          <w:szCs w:val="24"/>
        </w:rPr>
        <w:t xml:space="preserve">30) раздел 10 «Инженерное оборудование», дополнить пунктами 10.26 – 10.28:</w:t>
      </w:r>
    </w:p>
    <w:p>
      <w:pPr>
        <w:spacing w:after="120"/>
        <w:ind w:firstLine="708"/>
        <w:jc w:val="both"/>
      </w:pPr>
      <w:r>
        <w:rPr>
          <w:rFonts w:ascii="Arial" w:cs="Arial" w:eastAsia="Arial" w:hAnsi="Arial"/>
          <w:sz w:val="24"/>
          <w:szCs w:val="24"/>
        </w:rPr>
        <w:t xml:space="preserve">«10.26. В селитебной территории ширину охранной полосы по обе стороны от крайних линий водовода при отсутствии грунтовых вод следует принимать не менее:</w:t>
      </w:r>
    </w:p>
    <w:p>
      <w:pPr>
        <w:spacing w:after="120"/>
        <w:ind w:firstLine="708"/>
        <w:jc w:val="both"/>
      </w:pPr>
      <w:r>
        <w:rPr>
          <w:rFonts w:ascii="Arial" w:cs="Arial" w:eastAsia="Arial" w:hAnsi="Arial"/>
          <w:sz w:val="24"/>
          <w:szCs w:val="24"/>
        </w:rPr>
        <w:t xml:space="preserve">– 5м при диаметре до 1000 мм; </w:t>
      </w:r>
    </w:p>
    <w:p>
      <w:pPr>
        <w:spacing w:after="120"/>
        <w:ind w:firstLine="708"/>
        <w:jc w:val="both"/>
      </w:pPr>
      <w:r>
        <w:rPr>
          <w:rFonts w:ascii="Arial" w:cs="Arial" w:eastAsia="Arial" w:hAnsi="Arial"/>
          <w:sz w:val="24"/>
          <w:szCs w:val="24"/>
        </w:rPr>
        <w:t xml:space="preserve"> -10м при диаметре более 1000мм.</w:t>
      </w:r>
    </w:p>
    <w:p>
      <w:pPr>
        <w:spacing w:after="120"/>
        <w:ind w:firstLine="708"/>
        <w:jc w:val="both"/>
      </w:pPr>
      <w:r>
        <w:rPr>
          <w:rFonts w:ascii="Arial" w:cs="Arial" w:eastAsia="Arial" w:hAnsi="Arial"/>
          <w:sz w:val="24"/>
          <w:szCs w:val="24"/>
        </w:rPr>
        <w:t xml:space="preserve">«10.27. В прибрежной водоохраной полосе рек, проходящих по территории городов разрешается размещать инженерные сети за исключением канализационных очистных сооружений</w:t>
      </w:r>
    </w:p>
    <w:p>
      <w:pPr>
        <w:spacing w:after="120"/>
        <w:ind w:firstLine="708"/>
        <w:jc w:val="both"/>
      </w:pPr>
      <w:r>
        <w:rPr>
          <w:rFonts w:ascii="Arial" w:cs="Arial" w:eastAsia="Arial" w:hAnsi="Arial"/>
          <w:sz w:val="24"/>
          <w:szCs w:val="24"/>
        </w:rPr>
        <w:t xml:space="preserve">В пределах водоохранных зон и полос разрешается размещать гидротехнические сооружения, вне границ особо охраняемых природных территорий, при наличии положительного заключения государственной экологической экспертизы.</w:t>
      </w:r>
    </w:p>
    <w:p>
      <w:pPr>
        <w:spacing w:after="120"/>
        <w:ind w:firstLine="708"/>
        <w:jc w:val="both"/>
      </w:pPr>
      <w:r>
        <w:rPr>
          <w:rFonts w:ascii="Arial" w:cs="Arial" w:eastAsia="Arial" w:hAnsi="Arial"/>
          <w:sz w:val="24"/>
          <w:szCs w:val="24"/>
        </w:rPr>
        <w:t xml:space="preserve">«10.28. В населенных пунктах охранные зоны подстанций и воздушных линий электропередачи определяются нормативными правовыми актами и нормативными техническими документами, утвержденными соответствующим уполномоченным органом.</w:t>
      </w:r>
    </w:p>
    <w:p>
      <w:pPr>
        <w:spacing w:after="120"/>
        <w:ind w:firstLine="708"/>
        <w:jc w:val="both"/>
      </w:pPr>
      <w:r>
        <w:rPr>
          <w:rFonts w:ascii="Arial" w:cs="Arial" w:eastAsia="Arial" w:hAnsi="Arial"/>
          <w:sz w:val="24"/>
          <w:szCs w:val="24"/>
        </w:rPr>
        <w:t xml:space="preserve">31) пункт 2.3 Приложения А дополнить подпунктом 2.3.1 следующего содержания:</w:t>
      </w:r>
    </w:p>
    <w:p>
      <w:pPr>
        <w:spacing w:after="120"/>
        <w:ind w:firstLine="708"/>
        <w:jc w:val="both"/>
      </w:pPr>
      <w:r>
        <w:rPr>
          <w:rFonts w:ascii="Arial" w:cs="Arial" w:eastAsia="Arial" w:hAnsi="Arial"/>
          <w:sz w:val="24"/>
          <w:szCs w:val="24"/>
        </w:rPr>
        <w:t xml:space="preserve">«2.3.1. Проезды, подъезды к высотным зданиям должны предусматриваться в соответствии с пунктом 2.9 приложения А с учетом дополнительных требований:</w:t>
      </w:r>
    </w:p>
    <w:p>
      <w:pPr>
        <w:spacing w:after="120"/>
        <w:ind w:firstLine="708"/>
        <w:jc w:val="both"/>
      </w:pPr>
      <w:r>
        <w:rPr>
          <w:rFonts w:ascii="Arial" w:cs="Arial" w:eastAsia="Arial" w:hAnsi="Arial"/>
          <w:sz w:val="24"/>
          <w:szCs w:val="24"/>
        </w:rPr>
        <w:t xml:space="preserve"> - подъезд пожарных автомобилей должен быть обеспечен со всех сторон высотного здания, комплекса, включая размеры его встроенно-пристроенной части;</w:t>
      </w:r>
    </w:p>
    <w:p>
      <w:pPr>
        <w:spacing w:after="120"/>
        <w:ind w:firstLine="708"/>
        <w:jc w:val="both"/>
      </w:pPr>
      <w:r>
        <w:rPr>
          <w:rFonts w:ascii="Arial" w:cs="Arial" w:eastAsia="Arial" w:hAnsi="Arial"/>
          <w:sz w:val="24"/>
          <w:szCs w:val="24"/>
        </w:rPr>
        <w:t xml:space="preserve">32) примечание 1.3. Приложения А, цифры «20» заменить цифрами «50»;</w:t>
      </w:r>
    </w:p>
    <w:p>
      <w:pPr>
        <w:spacing w:after="120"/>
        <w:ind w:firstLine="708"/>
        <w:jc w:val="both"/>
      </w:pPr>
      <w:r>
        <w:rPr>
          <w:rFonts w:ascii="Arial" w:cs="Arial" w:eastAsia="Arial" w:hAnsi="Arial"/>
          <w:sz w:val="24"/>
          <w:szCs w:val="24"/>
        </w:rPr>
        <w:t xml:space="preserve">33) примечание 1 Приложения А, после слов «этажа» дополнить словами «либо мансарды»;</w:t>
      </w:r>
    </w:p>
    <w:p>
      <w:pPr>
        <w:spacing w:after="120"/>
        <w:ind w:firstLine="708"/>
        <w:jc w:val="both"/>
      </w:pPr>
      <w:r>
        <w:rPr>
          <w:rFonts w:ascii="Arial" w:cs="Arial" w:eastAsia="Arial" w:hAnsi="Arial"/>
          <w:sz w:val="24"/>
          <w:szCs w:val="24"/>
        </w:rPr>
        <w:t xml:space="preserve">34) первый абзац Приложения Г слова «по согласованию главным архитектором областей» исключить;</w:t>
      </w:r>
    </w:p>
    <w:p>
      <w:pPr>
        <w:spacing w:after="120"/>
        <w:ind w:firstLine="708"/>
        <w:jc w:val="both"/>
      </w:pPr>
      <w:r>
        <w:rPr>
          <w:rFonts w:ascii="Arial" w:cs="Arial" w:eastAsia="Arial" w:hAnsi="Arial"/>
          <w:sz w:val="24"/>
          <w:szCs w:val="24"/>
        </w:rPr>
        <w:t xml:space="preserve">35) пункт 1 Таблицы Г.2 Приложения Г, изложить в следующей редакции:</w:t>
      </w:r>
    </w:p>
    <w:p>
      <w:pPr>
        <w:spacing w:after="120"/>
        <w:ind w:firstLine="708"/>
        <w:jc w:val="both"/>
      </w:pPr>
      <w:r>
        <w:rPr>
          <w:rFonts w:ascii="Arial" w:cs="Arial" w:eastAsia="Arial" w:hAnsi="Arial"/>
          <w:sz w:val="24"/>
          <w:szCs w:val="24"/>
        </w:rPr>
        <w:t xml:space="preserve">1. В крупнейших и крупных городах на центральных территориях с высокой градостроительной ценностью, плотность населения принимать по таблице Г.2, на остальных территориях плотность принимать с понижением от центрального планировочного района с высокой градостроительной ценностью территории к периферии в зависимости от градостроительной ценности территории. Центральный планировочный район определяется при разработке генерального плана населенного пункта.</w:t>
      </w:r>
    </w:p>
    <w:p>
      <w:pPr>
        <w:spacing w:after="120"/>
        <w:ind w:firstLine="708"/>
        <w:jc w:val="both"/>
      </w:pPr>
      <w:r>
        <w:rPr>
          <w:rFonts w:ascii="Arial" w:cs="Arial" w:eastAsia="Arial" w:hAnsi="Arial"/>
          <w:sz w:val="24"/>
          <w:szCs w:val="24"/>
        </w:rPr>
        <w:t xml:space="preserve">Границы расчетной территории жилых районов необходимо устанавливать по осям магистральных и жилых улиц, проездов или пешеходных путей, по естественным рубежам, границы расчетной территории микрорайона, квартала необходимо устанавливать по красным линиям магистральных и жилых улиц, а при их отсутствии - на расстоянии 3м. от линии застройки. Из расчетной территории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необходимо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поперечный профиль улиц, разделяющих кварталы и сохраняемых для пешеходных передвижений внутри микрорайона или для подъезда к зданиям, показывается отдельно.</w:t>
      </w:r>
    </w:p>
    <w:p>
      <w:pPr>
        <w:spacing w:after="120"/>
        <w:ind w:firstLine="708"/>
        <w:jc w:val="both"/>
      </w:pPr>
      <w:r>
        <w:rPr>
          <w:rFonts w:ascii="Arial" w:cs="Arial" w:eastAsia="Arial" w:hAnsi="Arial"/>
          <w:sz w:val="24"/>
          <w:szCs w:val="24"/>
        </w:rPr>
        <w:t xml:space="preserve">36) в таблице Приложения З:</w:t>
      </w:r>
    </w:p>
    <w:p>
      <w:pPr>
        <w:spacing w:after="120"/>
        <w:ind w:firstLine="708"/>
        <w:jc w:val="both"/>
      </w:pPr>
      <w:r>
        <w:rPr>
          <w:rFonts w:ascii="Arial" w:cs="Arial" w:eastAsia="Arial" w:hAnsi="Arial"/>
          <w:sz w:val="24"/>
          <w:szCs w:val="24"/>
        </w:rPr>
        <w:t xml:space="preserve">- пункт «Детские образовательные организации, место» в графе «Размеры земельных участков, га» цифры «до 100 мест – 40, св. 100 –35;» заменить цифрами «до 100 мест – 35, свыше 100- 33»;</w:t>
      </w:r>
    </w:p>
    <w:p>
      <w:pPr>
        <w:spacing w:after="120"/>
        <w:ind w:firstLine="708"/>
        <w:jc w:val="both"/>
      </w:pPr>
      <w:r>
        <w:rPr>
          <w:rFonts w:ascii="Arial" w:cs="Arial" w:eastAsia="Arial" w:hAnsi="Arial"/>
          <w:sz w:val="24"/>
          <w:szCs w:val="24"/>
        </w:rPr>
        <w:t xml:space="preserve">- в пункте «Общеобразовательные школы, учащиеся*)» в графе «Размеры земельных участков, га» цифры «от 600 до 800 – 40 на 1 учащегося» исключить: </w:t>
      </w:r>
    </w:p>
    <w:p>
      <w:pPr>
        <w:spacing w:after="120"/>
        <w:ind w:firstLine="708"/>
        <w:jc w:val="both"/>
      </w:pPr>
      <w:r>
        <w:rPr>
          <w:rFonts w:ascii="Arial" w:cs="Arial" w:eastAsia="Arial" w:hAnsi="Arial"/>
          <w:sz w:val="24"/>
          <w:szCs w:val="24"/>
        </w:rPr>
        <w:t xml:space="preserve">- пункт «Общеобразовательные школы, учащиеся*)» в графе «Размеры земельных участков, га» цифры: </w:t>
      </w:r>
    </w:p>
    <w:p>
      <w:pPr>
        <w:spacing w:after="120"/>
        <w:ind w:firstLine="709"/>
        <w:jc w:val="both"/>
      </w:pPr>
      <w:r>
        <w:rPr>
          <w:rFonts w:ascii="Arial" w:cs="Arial" w:eastAsia="Arial" w:hAnsi="Arial"/>
          <w:sz w:val="24"/>
          <w:szCs w:val="24"/>
        </w:rPr>
        <w:t xml:space="preserve">- «от 40 до 400 - 50 м2 на 1 учащегося» заменить цифрами «от 150 до 275 - 20 на 1 учащегося»; </w:t>
      </w:r>
    </w:p>
    <w:p>
      <w:pPr>
        <w:spacing w:after="120"/>
        <w:ind w:firstLine="709"/>
        <w:jc w:val="both"/>
      </w:pPr>
      <w:r>
        <w:rPr>
          <w:rFonts w:ascii="Arial" w:cs="Arial" w:eastAsia="Arial" w:hAnsi="Arial"/>
          <w:sz w:val="24"/>
          <w:szCs w:val="24"/>
        </w:rPr>
        <w:t xml:space="preserve">- «от 400 до 500 – 60 на 1 учащегося» заменить цифрами «от 275 до 500 - 29 на 1 учащегося»;</w:t>
      </w:r>
    </w:p>
    <w:p>
      <w:pPr>
        <w:spacing w:after="120"/>
        <w:ind w:firstLine="709"/>
        <w:jc w:val="both"/>
      </w:pPr>
      <w:r>
        <w:rPr>
          <w:rFonts w:ascii="Arial" w:cs="Arial" w:eastAsia="Arial" w:hAnsi="Arial"/>
          <w:sz w:val="24"/>
          <w:szCs w:val="24"/>
        </w:rPr>
        <w:t xml:space="preserve">- «от 500 до 600 – 50 на 1 учащегося» заменить цифрами «от 500 до 800 - 38 на 1 учащегося»;</w:t>
      </w:r>
    </w:p>
    <w:p>
      <w:pPr>
        <w:spacing w:after="120"/>
        <w:ind w:firstLine="708"/>
        <w:jc w:val="both"/>
      </w:pPr>
      <w:r>
        <w:rPr>
          <w:rFonts w:ascii="Arial" w:cs="Arial" w:eastAsia="Arial" w:hAnsi="Arial"/>
          <w:sz w:val="24"/>
          <w:szCs w:val="24"/>
        </w:rPr>
        <w:t xml:space="preserve">37) в таблице Приложения З: </w:t>
      </w:r>
    </w:p>
    <w:p>
      <w:pPr>
        <w:spacing w:after="120"/>
        <w:ind w:firstLine="708"/>
        <w:jc w:val="both"/>
      </w:pPr>
      <w:r>
        <w:rPr>
          <w:rFonts w:ascii="Arial" w:cs="Arial" w:eastAsia="Arial" w:hAnsi="Arial"/>
          <w:sz w:val="24"/>
          <w:szCs w:val="24"/>
        </w:rPr>
        <w:t xml:space="preserve">- пункт 1.1.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пункт 1.2. в графе «Объекты посещения» слова «здания и помещения общественных организаций» заменить словами «офисные здания и общественные организации»;</w:t>
      </w:r>
    </w:p>
    <w:p>
      <w:pPr>
        <w:spacing w:after="120"/>
        <w:ind w:firstLine="708"/>
        <w:jc w:val="both"/>
      </w:pPr>
      <w:r>
        <w:rPr>
          <w:rFonts w:ascii="Arial" w:cs="Arial" w:eastAsia="Arial" w:hAnsi="Arial"/>
          <w:sz w:val="24"/>
          <w:szCs w:val="24"/>
        </w:rPr>
        <w:t xml:space="preserve">- пункт 1.2.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пункт 1.3. в графе «Объекты посещения» слова «офисные здания и помещения» исключить;</w:t>
      </w:r>
    </w:p>
    <w:p>
      <w:pPr>
        <w:spacing w:after="120"/>
        <w:ind w:firstLine="708"/>
        <w:jc w:val="both"/>
      </w:pPr>
      <w:r>
        <w:rPr>
          <w:rFonts w:ascii="Arial" w:cs="Arial" w:eastAsia="Arial" w:hAnsi="Arial"/>
          <w:sz w:val="24"/>
          <w:szCs w:val="24"/>
        </w:rPr>
        <w:t xml:space="preserve">- пункт 1.3.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в подпунктах 1.4.1. и 1.4.2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в подпункте 4.6.2. в графе «Расчетные единицы» слова «общей» заменить словами «полезной»; </w:t>
      </w:r>
    </w:p>
    <w:p>
      <w:pPr>
        <w:spacing w:after="120"/>
        <w:ind w:firstLine="708"/>
        <w:jc w:val="both"/>
      </w:pPr>
      <w:r>
        <w:rPr>
          <w:rFonts w:ascii="Arial" w:cs="Arial" w:eastAsia="Arial" w:hAnsi="Arial"/>
          <w:sz w:val="24"/>
          <w:szCs w:val="24"/>
        </w:rPr>
        <w:t xml:space="preserve">- в подпункте 4.6.3. в графе «Расчетные единицы» слова «общей» заменить словами «полезной». </w:t>
      </w:r>
    </w:p>
    <w:p>
      <w:pPr>
        <w:spacing w:after="120"/>
        <w:ind w:firstLine="708"/>
        <w:jc w:val="both"/>
      </w:pPr>
      <w:r>
        <w:rPr>
          <w:rFonts w:ascii="Arial" w:cs="Arial" w:eastAsia="Arial" w:hAnsi="Arial"/>
          <w:sz w:val="24"/>
          <w:szCs w:val="24"/>
        </w:rPr>
        <w:t xml:space="preserve">38) пункт 1 Приложения З исключить.</w:t>
      </w:r>
    </w:p>
    <w:p>
      <w:pPr>
        <w:spacing w:after="120"/>
        <w:ind w:firstLine="708"/>
        <w:jc w:val="both"/>
      </w:pPr>
      <w:r>
        <w:rPr>
          <w:rFonts w:ascii="Arial" w:cs="Arial" w:eastAsia="Arial" w:hAnsi="Arial"/>
          <w:sz w:val="24"/>
          <w:szCs w:val="24"/>
        </w:rPr>
        <w:t xml:space="preserve">2. Департаменту градостроительства и архитектуры при Государственном агентстве архитектуры строительства и жилищно-коммунального хозяйства при Кабинете Министров Кыргызской Республики:</w:t>
      </w:r>
    </w:p>
    <w:p>
      <w:pPr>
        <w:spacing w:after="120"/>
        <w:ind w:firstLine="708"/>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w:t>
      </w:r>
      <w:hyperlink w:history="1" r:id="rIdmxptpgh2zh5w6dnzvg2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8"/>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8"/>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w:t>
      </w:r>
    </w:p>
    <w:p>
      <w:pPr>
        <w:spacing w:after="120"/>
        <w:ind w:firstLine="709"/>
        <w:jc w:val="both"/>
      </w:pPr>
      <w:r>
        <w:rPr>
          <w:rFonts w:ascii="Arial" w:cs="Arial" w:eastAsia="Arial" w:hAnsi="Arial"/>
          <w:sz w:val="24"/>
          <w:szCs w:val="24"/>
        </w:rPr>
        <w:t xml:space="preserve">3. Настоящий приказ вступает в силу по истечении пятнадцати дней со дня официального опубликования.</w:t>
      </w:r>
    </w:p>
    <w:p>
      <w:pPr>
        <w:spacing w:after="120"/>
        <w:ind w:firstLine="708"/>
        <w:jc w:val="both"/>
      </w:pPr>
      <w:r>
        <w:rPr>
          <w:rFonts w:ascii="Arial" w:cs="Arial" w:eastAsia="Arial" w:hAnsi="Arial"/>
          <w:sz w:val="24"/>
          <w:szCs w:val="24"/>
        </w:rPr>
        <w:t xml:space="preserve">4. Контроль за исполнением настоящего приказа возложить на заместителя директора Госстроя Б.Б.Турдугулова.</w:t>
      </w:r>
    </w:p>
    <w:p>
      <w:pPr>
        <w:spacing w:after="120"/>
        <w:ind w:firstLine="708"/>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Н.К. Орунтаев</w:t>
      </w:r>
    </w:p>
    <w:p>
      <w:pPr>
        <w:spacing w:after="3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9gb2xb9gpuwuzzyfdzyp">
      <w:r>
        <w:rPr>
          <w:rFonts w:ascii="Arial" w:cs="Arial" w:eastAsia="Arial" w:hAnsi="Arial"/>
          <w:color w:val="132D3F"/>
          <w:sz w:val="16"/>
          <w:szCs w:val="16"/>
          <w:u w:val="single"/>
        </w:rPr>
        <w:t xml:space="preserve">dalil.kg/document/230012656</w:t>
      </w:r>
    </w:hyperlink>
  </w:p>
  <w:p>
    <w:pPr>
      <w:spacing w:after="0" w:before="40"/>
      <w:jc w:val="center"/>
    </w:pPr>
    <w:hyperlink w:history="1" r:id="rIdtr1qv8uf3ko4cjuz84t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guhwuyzahasdtxgf6bn" Type="http://schemas.openxmlformats.org/officeDocument/2006/relationships/hyperlink" Target="https://dalil.kg/document/160035" TargetMode="External"/><Relationship Id="rIdmnvfl8-afocwjguj8qdfq" Type="http://schemas.openxmlformats.org/officeDocument/2006/relationships/hyperlink" Target="https://dalil.kg/document/158344" TargetMode="External"/><Relationship Id="rIdmebc0bis9krr76bldoulj" Type="http://schemas.openxmlformats.org/officeDocument/2006/relationships/hyperlink" Target="https://dalil.kg/document/200523" TargetMode="External"/><Relationship Id="rIdmxptpgh2zh5w6dnzvg2hj"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gb2xb9gpuwuzzyfdzyp" Type="http://schemas.openxmlformats.org/officeDocument/2006/relationships/hyperlink" Target="https://dalil.kg/document/230012656" TargetMode="External"/><Relationship Id="rIdtr1qv8uf3ko4cjuz84t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2026-09-26T01:37:24.987Z</dcterms:created>
  <dcterms:modified xsi:type="dcterms:W3CDTF">2026-09-26T01:37:24.987Z</dcterms:modified>
</cp:coreProperties>
</file>

<file path=docProps/custom.xml><?xml version="1.0" encoding="utf-8"?>
<Properties xmlns="http://schemas.openxmlformats.org/officeDocument/2006/custom-properties" xmlns:vt="http://schemas.openxmlformats.org/officeDocument/2006/docPropsVTypes"/>
</file>