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августа 2024 года № 525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косвенных налогов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со статьями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согласно статьям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mhmgqclqcowcsgh9-_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pv46rnotyn8nvu24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условного начисления налога на добавленную стоимость на импорт товаров, утвержденном вышеуказанным </w:t>
      </w:r>
      <w:hyperlink w:history="1" r:id="rIdf_wpcqlu4tjqyd-ctf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условное начисление НДС на импорт товаров - порядок уплаты НДС, согласно которому налогоплательщик обязан внести сумму НДС, начисленного при импорте товаров на территорию Кыргызской Республики, внести на депозитный счет, открытый в системе Казначейства или уплатить в бюджет, с условием последующего экспорта данных товаров с территории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1ry3wal2xqlmgsiyvl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"1 апреля" заменить словами "1 июня";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четвертым,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сентября 2024 года табак трубочный, курительный, нюхательный, кальянный (за исключением табака, используемого в качестве сырья для производства табачной продукции), классифицируемые в товарной позиции ТН ВЭД 2403;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2024 года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 и 3811210000.";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5fxvuld5wrpzw8yhd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mox9olo_r6dipbkpxd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маркируемая продукция -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Маркировке маркой акцизного сбора подлежат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3811210000. Маркировка подакцизной продукции по видам, наименованиям и емкости (для алкогольных изделий и воды, включая минеральные и газированные, содержащие добавки сахара или других подслащивающих или вкусо-ароматических веществ) производится в соответствии с типами и номерами акцизных марок, указанными в решении органа налоговой службы о выдаче акцизных марок.";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ставках</w:t>
      </w:r>
      <w:r>
        <w:rPr>
          <w:rFonts w:ascii="Arial" w:cs="Arial" w:eastAsia="Arial" w:hAnsi="Arial"/>
          <w:sz w:val="24"/>
          <w:szCs w:val="24"/>
        </w:rPr>
        <w:t xml:space="preserve"> акцизного налога на отдельные подакцизные товары, производимые на территории Кыргызской Республики и ввозимые на территорию Кыргызской Республики,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838"/>
        <w:gridCol w:w="107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дистилляты, за исключением зимнего дизельного топлива, классифицируемые в товарных позициях ТН ВЭД 271012110-271012900, 2710191100-2710191500, 2710192500, 271019290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сомов/тонна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aqaz8jx3pq1hql6rcx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326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329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hyperlink w:history="1" r:id="rIdc6gaxtkzimjcakxxd8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марта 2022 года № 178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Положение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товаров, согласно приложению 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8gklctbssrand_ymt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стоимость, утвержденном вышеуказанным </w:t>
      </w:r>
      <w:hyperlink w:history="1" r:id="rId8mbhbcw9dtka0sxsvw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"</w:t>
      </w:r>
      <w:hyperlink w:history="1" r:id="rIdeu6mtrw1tvk3-25pkub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13,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представлении в налоговый орган заявления о возмещении и возврате суммы превышения НДС в счет уплаты обязательства по НДС на импорт, в счет уплаты налоговой задолженности по другим видам налогов и НДС, удерживаемого налоговым агентом, а также возврате на банковский счет, для проведения камеральной проверки обоснованности и размера суммы превышения НДС налогоплательщик НДС обязан представить заверенные своей печатью копии документов,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или контракт на поставку товаров, работ,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остатков товарно-материальных ценностей, готовой продукции и ведомость учета основных средств на балансе основных средств, за счет приобретения которых образовалась сумма превышения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платежные документы, подтверждающие факт оплаты поставщикам за приобретенные материальные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отсутствии документов, подтверждающих факт оплаты поставщикам за приобретенные материальные ресурсы и суммы НДС либо оплаты в натуральном выражении (товаром, работой или услугой), должны быть приложены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сверки взаимных расчетов между налогоплательщиком НДС и поставщиком на дату подачи заявления в налоговый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договора или приравненного к нему документа о сроках и способах платежей, заверенная подписью и печатью налогоплательщика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выездной проверки, охватывающий период, за который представлено заявление на возмещение и возврат суммы превышения НДС, если этот период был охвачен предыдущей проверкой;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транспортные, товаросопроводительные документы, счета-фактуры (инвойс) на товары, оформленные в соответствии с законодательством соответствующего государства при отгрузке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декларации, подтверждающие ввоз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платежные документы, подтверждающие факт уплаты НДС на импорт в таможенном органе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платежные документы, подтверждающие уплату косвенных налогов по импортированным товарам;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осуществлении международных авиаперевозок: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 служб аэропорта (форма "А");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разового обслуживания самолетов (формы "С" и "D");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авианакладные (аэрвейбил);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на полет;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выручке за билеты на международные рейсы, авианакладные (багажная ведомость, лоодшит) на перевозку несопровождаемого багажа, почтовых отправлений, консульской вализы.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экспорта товаров представляются заверенные печатью налогоплательщика НДС документы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при экспортных поставках в государства-участники Содружества Независимых Государств (далее - СНГ) и третьи страны; в случае выявления несоответствия сведений, представленных налогоплательщиком со сведениями, имеющимися у налогового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результаты сверки фактически сложившихся по результатам обследования налогообразующих показателей (данные первичных документов) с данными налоговых отчетов, представленных налогоплательщиком НДС, в том числе с данными из соответствующих модулей информационной системы налоговой службы;";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результаты запроса по осуществленным налогоплательщиком НДС экспортным поставкам, направленного через уполномоченный налоговый орган, с целью подтверждения таких поставок в налоговые и таможенные органы государств-членов ЕАЭС, государств-участников СНГ и третьих стран в случае направления такого запроса.";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при экспортных поставках в государства-участники СНГ и третьи страны в случае выявления несоответствия сведений, представленных налогоплательщиком, со сведениями, имеющимся у налогового органа;";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Налогоплательщик НДС имеет право на упрощенный порядок возврата суммы превышения НДС при одновременном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период, равный 6 месяцам следующим подряд;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поставок налогоплательщика НДС, облагаемых по нулевой ставке, за последние 12 календарных месяцев не менее 40 миллионов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собственных основных средств налогоплательщика НДС не менее 15 миллионов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3, 4 и 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7,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случае осуществления экспортных поставок на территорию государств-членов ЕАЭС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государств-членов ЕАЭС и/или их расхождения с налоговой отчетностью налогоплательщика НДС;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несоответствие показателей налогоплательщика НДС показателям поставщика товаров, работ и услуг выявленное по результатам анализа данных налоговой отчетности по НДС и/или данных информационной системы электронных счетов-фактур;";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"проведении камеральной проверки обоснованности и размера суммы превышения НДС" заменить словами "об отказе в возврате и/или возмещении НДС в упрощенном порядке";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37, 37-1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4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vvloc1x70neh6c5kks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сентября 2024 года № 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Положению о порядке проведения камеральной проверки обоснованности и размера суммы превышения налога на добавленную стоимость, порядке возмещения и возврата суммы превышения налога на добавленную стоимость и перечня документов, подтверждающих экспорт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экспорт товаров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экспорт товаров,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с учетом изменений, дополнений и приложений к ним, на основании которых осуществляется экспорт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электронного заявления о ввозе товаров и уплате косвенных налогов с отметкой налогового органа государства-члена Евразийского экономического союза (далее - ЕАЭС), на территорию которого импортированы товары, об уплате косвенных налогов (освобождении или ином порядке исполнения налоговых обязательств) на бумажном носителе при экспорте товаров с территории одного государства-члена ЕАЭС на территорию другого государства-члена ЕАЭС;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транспортных и товаросопроводительных документов, подтверждающих перемещение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приема-сдачи товаров по системе магистральных трубопроводов или по линиям электропередачи;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поступление выручки в кассу или на банковские счета налогоплательщика за экспортированные товары;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собственности, а также его стоимости - в случае экспорта объекта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таможенные декларации на экспорт товаров.".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hmgqclqcowcsgh9-_dr" Type="http://schemas.openxmlformats.org/officeDocument/2006/relationships/hyperlink" Target="http://kodeks.duckdns.org/document/158988" TargetMode="External"/><Relationship Id="rIduhpv46rnotyn8nvu24txk" Type="http://schemas.openxmlformats.org/officeDocument/2006/relationships/hyperlink" Target="http://kodeks.duckdns.org/document/159000" TargetMode="External"/><Relationship Id="rIdf_wpcqlu4tjqyd-ctfkyd" Type="http://schemas.openxmlformats.org/officeDocument/2006/relationships/hyperlink" Target="http://kodeks.duckdns.org/document/158988" TargetMode="External"/><Relationship Id="rId61ry3wal2xqlmgsiyvlr0" Type="http://schemas.openxmlformats.org/officeDocument/2006/relationships/hyperlink" Target="http://kodeks.duckdns.org/document/159100" TargetMode="External"/><Relationship Id="rIdx5fxvuld5wrpzw8yhdkhu" Type="http://schemas.openxmlformats.org/officeDocument/2006/relationships/hyperlink" Target="http://kodeks.duckdns.org/document/430908" TargetMode="External"/><Relationship Id="rIdmox9olo_r6dipbkpxdivu" Type="http://schemas.openxmlformats.org/officeDocument/2006/relationships/hyperlink" Target="http://kodeks.duckdns.org/document/159100" TargetMode="External"/><Relationship Id="rIdeaqaz8jx3pq1hql6rcxy3" Type="http://schemas.openxmlformats.org/officeDocument/2006/relationships/hyperlink" Target="http://kodeks.duckdns.org/document/159096" TargetMode="External"/><Relationship Id="rIdc6gaxtkzimjcakxxd8ioe" Type="http://schemas.openxmlformats.org/officeDocument/2006/relationships/hyperlink" Target="http://kodeks.duckdns.org/document/112342" TargetMode="External"/><Relationship Id="rId-8gklctbssrand_ymtcln" Type="http://schemas.openxmlformats.org/officeDocument/2006/relationships/hyperlink" Target="http://kodeks.duckdns.org/document/159112" TargetMode="External"/><Relationship Id="rId8mbhbcw9dtka0sxsvwtey" Type="http://schemas.openxmlformats.org/officeDocument/2006/relationships/hyperlink" Target="http://kodeks.duckdns.org/document/159096" TargetMode="External"/><Relationship Id="rIdeu6mtrw1tvk3-25pkub-g" Type="http://schemas.openxmlformats.org/officeDocument/2006/relationships/hyperlink" Target="http://kodeks.duckdns.org/document/159112" TargetMode="External"/><Relationship Id="rIdvvloc1x70neh6c5kkssp1" Type="http://schemas.openxmlformats.org/officeDocument/2006/relationships/hyperlink" Target="http://kodeks.duckdns.org/document/230013025#pr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2026-09-23T00:33:46.775Z</dcterms:created>
  <dcterms:modified xsi:type="dcterms:W3CDTF">2026-09-23T00:33:46.775Z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