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akhypc8exogzc4jkdmqs">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27 августа 2024 года № 513)</w:t>
      </w:r>
    </w:p>
    <w:p>
      <w:pPr>
        <w:spacing w:after="240" w:before="200"/>
        <w:jc w:val="center"/>
      </w:pPr>
      <w:r>
        <w:rPr>
          <w:rFonts w:ascii="Arial" w:cs="Arial" w:eastAsia="Arial" w:hAnsi="Arial"/>
          <w:b/>
          <w:bCs/>
          <w:sz w:val="28"/>
          <w:szCs w:val="28"/>
        </w:rPr>
        <w:t xml:space="preserve">ПОРЯДОК
 государственной регистрации, проведения экспертизы безопасности, качества и эффективности медицинских изделий, ведения Государственного реестра, номенклатуры медицинских изделий, внесения изменений в регистрационное досье медицинских изделий, приостановления или отмены действия (аннулирования) регистрационного удостоверения</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Настоящий Порядок определяет процедуры государственной регистрации, проведения экспертизы безопасности, эффективности и качества медицинских изделий, подготовки заключения, выдачи регистрационного удостоверения, а также процедуры внесения изменений в регистрационное досье медицинских изделий, правил ведения номенклатуры медицинских изделий и порядка ведения Государственного реестра медицинских изделий, приостановления или отмены действия (аннулирования) регистрационного удостоверения.</w:t>
      </w:r>
    </w:p>
    <w:p>
      <w:pPr>
        <w:spacing w:after="120"/>
        <w:ind w:firstLine="567"/>
        <w:jc w:val="both"/>
      </w:pPr>
      <w:r>
        <w:rPr>
          <w:rFonts w:ascii="Arial" w:cs="Arial" w:eastAsia="Arial" w:hAnsi="Arial"/>
          <w:sz w:val="24"/>
          <w:szCs w:val="24"/>
        </w:rPr>
        <w:t xml:space="preserve">2. В настоящем Порядке используются следующие понятия:</w:t>
      </w:r>
    </w:p>
    <w:p>
      <w:pPr>
        <w:spacing w:after="120"/>
        <w:ind w:firstLine="567"/>
        <w:jc w:val="both"/>
      </w:pPr>
      <w:r>
        <w:rPr>
          <w:rFonts w:ascii="Arial" w:cs="Arial" w:eastAsia="Arial" w:hAnsi="Arial"/>
          <w:b/>
          <w:bCs/>
          <w:sz w:val="24"/>
          <w:szCs w:val="24"/>
        </w:rPr>
        <w:t xml:space="preserve">валидация</w:t>
      </w:r>
      <w:r>
        <w:rPr>
          <w:rFonts w:ascii="Arial" w:cs="Arial" w:eastAsia="Arial" w:hAnsi="Arial"/>
          <w:sz w:val="24"/>
          <w:szCs w:val="24"/>
        </w:rPr>
        <w:t xml:space="preserve"> - подтверждение посредством представления объективных свидетельств выполнения требований, предназначенных для конкретного использования или применения;</w:t>
      </w:r>
    </w:p>
    <w:p>
      <w:pPr>
        <w:spacing w:after="120"/>
        <w:ind w:firstLine="567"/>
        <w:jc w:val="both"/>
      </w:pPr>
      <w:r>
        <w:rPr>
          <w:rFonts w:ascii="Arial" w:cs="Arial" w:eastAsia="Arial" w:hAnsi="Arial"/>
          <w:b/>
          <w:bCs/>
          <w:sz w:val="24"/>
          <w:szCs w:val="24"/>
        </w:rPr>
        <w:t xml:space="preserve">верификация</w:t>
      </w:r>
      <w:r>
        <w:rPr>
          <w:rFonts w:ascii="Arial" w:cs="Arial" w:eastAsia="Arial" w:hAnsi="Arial"/>
          <w:sz w:val="24"/>
          <w:szCs w:val="24"/>
        </w:rPr>
        <w:t xml:space="preserve"> - подтверждение на основе представления объективных свидетельств выполнения установленных требований;</w:t>
      </w:r>
    </w:p>
    <w:p>
      <w:pPr>
        <w:spacing w:after="120"/>
        <w:ind w:firstLine="567"/>
        <w:jc w:val="both"/>
      </w:pPr>
      <w:r>
        <w:rPr>
          <w:rFonts w:ascii="Arial" w:cs="Arial" w:eastAsia="Arial" w:hAnsi="Arial"/>
          <w:b/>
          <w:bCs/>
          <w:sz w:val="24"/>
          <w:szCs w:val="24"/>
        </w:rPr>
        <w:t xml:space="preserve">вид медицинского изделия</w:t>
      </w:r>
      <w:r>
        <w:rPr>
          <w:rFonts w:ascii="Arial" w:cs="Arial" w:eastAsia="Arial" w:hAnsi="Arial"/>
          <w:sz w:val="24"/>
          <w:szCs w:val="24"/>
        </w:rPr>
        <w:t xml:space="preserve"> - совокупность медицинских изделий, имеющих аналогичное либо схожее назначение и (или) устройство;</w:t>
      </w:r>
    </w:p>
    <w:p>
      <w:pPr>
        <w:spacing w:after="120"/>
        <w:ind w:firstLine="567"/>
        <w:jc w:val="both"/>
      </w:pPr>
      <w:r>
        <w:rPr>
          <w:rFonts w:ascii="Arial" w:cs="Arial" w:eastAsia="Arial" w:hAnsi="Arial"/>
          <w:b/>
          <w:bCs/>
          <w:sz w:val="24"/>
          <w:szCs w:val="24"/>
        </w:rPr>
        <w:t xml:space="preserve">Глобальная номенклатура медицинских изделий (Global Medical Device Nomenclature)</w:t>
      </w:r>
      <w:r>
        <w:rPr>
          <w:rFonts w:ascii="Arial" w:cs="Arial" w:eastAsia="Arial" w:hAnsi="Arial"/>
          <w:sz w:val="24"/>
          <w:szCs w:val="24"/>
        </w:rPr>
        <w:t xml:space="preserve"> - систематизированный номенклатурный классификатор видов медицинских изделий, применяемый в целях идентификации медицинских изделий;</w:t>
      </w:r>
    </w:p>
    <w:p>
      <w:pPr>
        <w:spacing w:after="12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лицо, обращающееся в уполномоченный орган с заявлением на регистрацию медицинских изделий, внесение изменений в регистрационное досье медицинских изделий;</w:t>
      </w:r>
    </w:p>
    <w:p>
      <w:pPr>
        <w:spacing w:after="120"/>
        <w:ind w:firstLine="567"/>
        <w:jc w:val="both"/>
      </w:pPr>
      <w:r>
        <w:rPr>
          <w:rFonts w:ascii="Arial" w:cs="Arial" w:eastAsia="Arial" w:hAnsi="Arial"/>
          <w:b/>
          <w:bCs/>
          <w:sz w:val="24"/>
          <w:szCs w:val="24"/>
        </w:rPr>
        <w:t xml:space="preserve">модель медицинского изделия</w:t>
      </w:r>
      <w:r>
        <w:rPr>
          <w:rFonts w:ascii="Arial" w:cs="Arial" w:eastAsia="Arial" w:hAnsi="Arial"/>
          <w:sz w:val="24"/>
          <w:szCs w:val="24"/>
        </w:rPr>
        <w:t xml:space="preserve"> - разновидность медицинского изделия, имеющая общие с основным медицинским изделием конструктивные признаки, разработанные на базе основного изделия с целью его усовершенствования, расширения либо специализации применения в медицинских целях;</w:t>
      </w:r>
    </w:p>
    <w:p>
      <w:pPr>
        <w:spacing w:after="120"/>
        <w:ind w:firstLine="567"/>
        <w:jc w:val="both"/>
      </w:pPr>
      <w:r>
        <w:rPr>
          <w:rFonts w:ascii="Arial" w:cs="Arial" w:eastAsia="Arial" w:hAnsi="Arial"/>
          <w:b/>
          <w:bCs/>
          <w:sz w:val="24"/>
          <w:szCs w:val="24"/>
        </w:rPr>
        <w:t xml:space="preserve">номенклатура медицинских изделий</w:t>
      </w:r>
      <w:r>
        <w:rPr>
          <w:rFonts w:ascii="Arial" w:cs="Arial" w:eastAsia="Arial" w:hAnsi="Arial"/>
          <w:sz w:val="24"/>
          <w:szCs w:val="24"/>
        </w:rPr>
        <w:t xml:space="preserve"> - систематизированный номенклатурный классификатор медицинских изделий, содержащий перечень видов медицинских изделий с указанием номенклатурных наименований, уникальные коды и описание видов медицинских изделий, включающих классификационные признаки медицинских изделий в зависимости от назначения медицинских изделий и (или) их устройства;</w:t>
      </w:r>
    </w:p>
    <w:p>
      <w:pPr>
        <w:spacing w:after="120"/>
        <w:ind w:firstLine="567"/>
        <w:jc w:val="both"/>
      </w:pPr>
      <w:r>
        <w:rPr>
          <w:rFonts w:ascii="Arial" w:cs="Arial" w:eastAsia="Arial" w:hAnsi="Arial"/>
          <w:b/>
          <w:bCs/>
          <w:sz w:val="24"/>
          <w:szCs w:val="24"/>
        </w:rPr>
        <w:t xml:space="preserve">принадлежность</w:t>
      </w:r>
      <w:r>
        <w:rPr>
          <w:rFonts w:ascii="Arial" w:cs="Arial" w:eastAsia="Arial" w:hAnsi="Arial"/>
          <w:sz w:val="24"/>
          <w:szCs w:val="24"/>
        </w:rPr>
        <w:t xml:space="preserve"> - изделие, не являющееся медицинским изделием, предназначенное производителем для совместного применения с одним или несколькими медицинскими изделиями для использования в соответствии с их назначением;</w:t>
      </w:r>
    </w:p>
    <w:p>
      <w:pPr>
        <w:spacing w:after="120"/>
        <w:ind w:firstLine="567"/>
        <w:jc w:val="both"/>
      </w:pPr>
      <w:r>
        <w:rPr>
          <w:rFonts w:ascii="Arial" w:cs="Arial" w:eastAsia="Arial" w:hAnsi="Arial"/>
          <w:b/>
          <w:bCs/>
          <w:sz w:val="24"/>
          <w:szCs w:val="24"/>
        </w:rPr>
        <w:t xml:space="preserve">производственная площадка</w:t>
      </w:r>
      <w:r>
        <w:rPr>
          <w:rFonts w:ascii="Arial" w:cs="Arial" w:eastAsia="Arial" w:hAnsi="Arial"/>
          <w:sz w:val="24"/>
          <w:szCs w:val="24"/>
        </w:rPr>
        <w:t xml:space="preserve"> - территориально обособленный комплекс, предназначенный для выполнения всего процесса производства медицинского изделия или его определенных стадий;</w:t>
      </w:r>
    </w:p>
    <w:p>
      <w:pPr>
        <w:spacing w:after="120"/>
        <w:ind w:firstLine="567"/>
        <w:jc w:val="both"/>
      </w:pPr>
      <w:r>
        <w:rPr>
          <w:rFonts w:ascii="Arial" w:cs="Arial" w:eastAsia="Arial" w:hAnsi="Arial"/>
          <w:b/>
          <w:bCs/>
          <w:sz w:val="24"/>
          <w:szCs w:val="24"/>
        </w:rPr>
        <w:t xml:space="preserve">регистрационный номер</w:t>
      </w:r>
      <w:r>
        <w:rPr>
          <w:rFonts w:ascii="Arial" w:cs="Arial" w:eastAsia="Arial" w:hAnsi="Arial"/>
          <w:sz w:val="24"/>
          <w:szCs w:val="24"/>
        </w:rPr>
        <w:t xml:space="preserve"> - кодовое обозначение, присваиваемое медицинским изделиям при их регистрации, под которым они вносятся в государственный реестр медицинских изделий, зарегистрированных в Кыргызской Республике;</w:t>
      </w:r>
    </w:p>
    <w:p>
      <w:pPr>
        <w:spacing w:after="120"/>
        <w:ind w:firstLine="567"/>
        <w:jc w:val="both"/>
      </w:pPr>
      <w:r>
        <w:rPr>
          <w:rFonts w:ascii="Arial" w:cs="Arial" w:eastAsia="Arial" w:hAnsi="Arial"/>
          <w:b/>
          <w:bCs/>
          <w:sz w:val="24"/>
          <w:szCs w:val="24"/>
        </w:rPr>
        <w:t xml:space="preserve">уполномоченный представитель производителя</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являющееся резидентом Кыргызской Республики и уполномоченное в соответствии с доверенностью производителя медицинского изделия представлять его интересы и нести ответственность в части обращения медицинского изделия и исполнения обязательных требований, предъявляемых к медицинским изделиям.</w:t>
      </w:r>
    </w:p>
    <w:p>
      <w:pPr>
        <w:spacing w:after="120"/>
        <w:ind w:firstLine="567"/>
        <w:jc w:val="both"/>
      </w:pPr>
      <w:r>
        <w:rPr>
          <w:rFonts w:ascii="Arial" w:cs="Arial" w:eastAsia="Arial" w:hAnsi="Arial"/>
          <w:sz w:val="24"/>
          <w:szCs w:val="24"/>
        </w:rPr>
        <w:t xml:space="preserve">3. Регистрацию медицинских изделий осуществляет подведомственное подразделение уполномоченного государственного органа Кыргызской Республики по регулированию сферы обращения лекарственных средств и медицинских изделий (далее - уполномоченный орган).</w:t>
      </w:r>
    </w:p>
    <w:p>
      <w:pPr>
        <w:spacing w:after="120"/>
        <w:ind w:firstLine="567"/>
        <w:jc w:val="both"/>
      </w:pPr>
      <w:r>
        <w:rPr>
          <w:rFonts w:ascii="Arial" w:cs="Arial" w:eastAsia="Arial" w:hAnsi="Arial"/>
          <w:sz w:val="24"/>
          <w:szCs w:val="24"/>
        </w:rPr>
        <w:t xml:space="preserve">4. Медицинские изделия, за исключением медицинских изделий, не подлежащих государственной регистрации в соответствии со </w:t>
      </w:r>
      <w:hyperlink w:history="1" r:id="rIdnmrfsxvrszn44sbk6mnmp">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Закона Кыргызской Республики "Об обращении медицинских изделий", подлежат обращению на территории Кыргызской Республики при наличии государственной регистрации, подтвержденной выдачей регистрационного удостоверения.</w:t>
      </w:r>
    </w:p>
    <w:p>
      <w:pPr>
        <w:spacing w:after="120"/>
        <w:ind w:firstLine="567"/>
        <w:jc w:val="both"/>
      </w:pPr>
      <w:r>
        <w:rPr>
          <w:rFonts w:ascii="Arial" w:cs="Arial" w:eastAsia="Arial" w:hAnsi="Arial"/>
          <w:sz w:val="24"/>
          <w:szCs w:val="24"/>
        </w:rPr>
        <w:t xml:space="preserve">5. Государственной регистрации в Кыргызской Республике подлежат медицинские изделия, имеющие подтверждение об обращении в качестве медицинских изделий в стране-производителе или в других странах и получившие положительную экспертную оценку их безопасности, качества и эффективности с учетом класса потенциального риска применения медицинских изделий.</w:t>
      </w:r>
    </w:p>
    <w:p>
      <w:pPr>
        <w:spacing w:after="120"/>
        <w:ind w:firstLine="567"/>
        <w:jc w:val="both"/>
      </w:pPr>
      <w:r>
        <w:rPr>
          <w:rFonts w:ascii="Arial" w:cs="Arial" w:eastAsia="Arial" w:hAnsi="Arial"/>
          <w:sz w:val="24"/>
          <w:szCs w:val="24"/>
        </w:rPr>
        <w:t xml:space="preserve">6. До подачи в уполномоченный орган заявления о проведении регистрации медицинского изделия заявитель проводит технические испытания, испытания (исследования) с целью оценки биологического действия медицинского изделия, клинические и клинико-лабораторные испытания (исследования) медицинского изделия.</w:t>
      </w:r>
    </w:p>
    <w:p>
      <w:pPr>
        <w:spacing w:after="120"/>
        <w:ind w:firstLine="567"/>
        <w:jc w:val="both"/>
      </w:pPr>
      <w:r>
        <w:rPr>
          <w:rFonts w:ascii="Arial" w:cs="Arial" w:eastAsia="Arial" w:hAnsi="Arial"/>
          <w:sz w:val="24"/>
          <w:szCs w:val="24"/>
        </w:rPr>
        <w:t xml:space="preserve">7. Документы регистрационного досье медицинского изделия (далее - регистрационное досье) представляются на государственном или официальном языке в электронном виде. Документы регистрационного досье, представленные на иностранном языке, должны сопровождаться нотариально заверенным переводом на государственный или официальный язык, за исключением пунктов 8-24 </w:t>
      </w:r>
      <w:hyperlink w:history="1" r:id="rId5ei4zczssd-3gdfili_y0">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Данные о маркировке и упаковке, текст маркировки медицинского изделия предоставляются на государственном и официальном языках.</w:t>
      </w:r>
    </w:p>
    <w:p>
      <w:pPr>
        <w:spacing w:after="120"/>
        <w:ind w:firstLine="567"/>
        <w:jc w:val="both"/>
      </w:pPr>
      <w:r>
        <w:rPr>
          <w:rFonts w:ascii="Arial" w:cs="Arial" w:eastAsia="Arial" w:hAnsi="Arial"/>
          <w:sz w:val="24"/>
          <w:szCs w:val="24"/>
        </w:rPr>
        <w:t xml:space="preserve">8. Информация о медицинских изделиях, в отношении которых проводятся процедуры, предусмотренные настоящим Порядком, а также документы, содержащиеся в регистрационном досье, кроме эксплуатационного документа или инструкции по применению медицинского изделия, руководства по сервисному обслуживанию, данных о маркировке и упаковке (полноцветные (с указанием кодировки цвета) макеты упаковок и этикеток), текста маркировки относятся к конфиденциальной информации и доступны только уполномоченному органу.</w:t>
      </w:r>
    </w:p>
    <w:p>
      <w:pPr>
        <w:spacing w:after="120"/>
        <w:ind w:firstLine="567"/>
        <w:jc w:val="both"/>
      </w:pPr>
      <w:r>
        <w:rPr>
          <w:rFonts w:ascii="Arial" w:cs="Arial" w:eastAsia="Arial" w:hAnsi="Arial"/>
          <w:sz w:val="24"/>
          <w:szCs w:val="24"/>
        </w:rPr>
        <w:t xml:space="preserve">9. Информация, предоставляемая заявителем, содержащаяся в представленных документах и данных регистрационного досье, должна быть достоверной.</w:t>
      </w:r>
    </w:p>
    <w:p>
      <w:pPr>
        <w:spacing w:after="120"/>
        <w:ind w:firstLine="567"/>
        <w:jc w:val="both"/>
      </w:pPr>
      <w:r>
        <w:rPr>
          <w:rFonts w:ascii="Arial" w:cs="Arial" w:eastAsia="Arial" w:hAnsi="Arial"/>
          <w:sz w:val="24"/>
          <w:szCs w:val="24"/>
        </w:rPr>
        <w:t xml:space="preserve">В случае предоставления недостоверной и подложной информации в регистрационном досье заявитель несет уголовную ответственность в соответствии с действующим законодательством Кыргызской Республики.</w:t>
      </w:r>
    </w:p>
    <w:p>
      <w:pPr>
        <w:spacing w:after="120"/>
        <w:ind w:firstLine="567"/>
        <w:jc w:val="both"/>
      </w:pPr>
      <w:r>
        <w:rPr>
          <w:rFonts w:ascii="Arial" w:cs="Arial" w:eastAsia="Arial" w:hAnsi="Arial"/>
          <w:sz w:val="24"/>
          <w:szCs w:val="24"/>
        </w:rPr>
        <w:t xml:space="preserve">10. Все процедуры, связанные с регистрацией, внесением изменений, приостановлением или отменой действия (аннулированием) регистрационного удостоверения, проводятся в информационной системе "Электронная база данных лекарственных средств и медицинских изделий" (далее - ИС ЭБД ЛС и МИ).</w:t>
      </w:r>
    </w:p>
    <w:p>
      <w:pPr>
        <w:spacing w:after="120"/>
        <w:ind w:firstLine="567"/>
        <w:jc w:val="both"/>
      </w:pPr>
      <w:r>
        <w:rPr>
          <w:rFonts w:ascii="Arial" w:cs="Arial" w:eastAsia="Arial" w:hAnsi="Arial"/>
          <w:sz w:val="24"/>
          <w:szCs w:val="24"/>
        </w:rPr>
        <w:t xml:space="preserve">11. Для доступа к функции регистрации медицинских изделий в ИС ЭБД ЛС и МИ пользователю необходимо открыть личный кабинет.</w:t>
      </w:r>
    </w:p>
    <w:p>
      <w:pPr>
        <w:spacing w:after="240" w:before="200"/>
        <w:jc w:val="center"/>
      </w:pPr>
      <w:r>
        <w:rPr>
          <w:rFonts w:ascii="Arial" w:cs="Arial" w:eastAsia="Arial" w:hAnsi="Arial"/>
          <w:b/>
          <w:bCs/>
          <w:sz w:val="32"/>
          <w:szCs w:val="32"/>
        </w:rPr>
        <w:t xml:space="preserve">Глава 2. Порядок государственной регистрации медицинского изделия</w:t>
      </w:r>
    </w:p>
    <w:p>
      <w:pPr>
        <w:spacing w:after="120"/>
        <w:ind w:firstLine="567"/>
        <w:jc w:val="both"/>
      </w:pPr>
      <w:r>
        <w:rPr>
          <w:rFonts w:ascii="Arial" w:cs="Arial" w:eastAsia="Arial" w:hAnsi="Arial"/>
          <w:sz w:val="24"/>
          <w:szCs w:val="24"/>
        </w:rPr>
        <w:t xml:space="preserve">12. В целях государственной регистрации заявитель направляет через ИС ЭБД ЛС и МИ в уполномоченный орган следующее:</w:t>
      </w:r>
    </w:p>
    <w:p>
      <w:pPr>
        <w:spacing w:after="120"/>
        <w:ind w:firstLine="567"/>
        <w:jc w:val="both"/>
      </w:pPr>
      <w:r>
        <w:rPr>
          <w:rFonts w:ascii="Arial" w:cs="Arial" w:eastAsia="Arial" w:hAnsi="Arial"/>
          <w:sz w:val="24"/>
          <w:szCs w:val="24"/>
        </w:rPr>
        <w:t xml:space="preserve">1) заявление;</w:t>
      </w:r>
    </w:p>
    <w:p>
      <w:pPr>
        <w:spacing w:after="120"/>
        <w:ind w:firstLine="567"/>
        <w:jc w:val="both"/>
      </w:pPr>
      <w:r>
        <w:rPr>
          <w:rFonts w:ascii="Arial" w:cs="Arial" w:eastAsia="Arial" w:hAnsi="Arial"/>
          <w:sz w:val="24"/>
          <w:szCs w:val="24"/>
        </w:rPr>
        <w:t xml:space="preserve">2) регистрационное досье, содержащее документы по перечню согласно </w:t>
      </w:r>
      <w:hyperlink w:history="1" r:id="rId_ws6bdwc414pj25oxmlm5">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В случае сбоя ИС ЭБД ЛС и МИ уполномоченный орган вправе принимать регистрационное досье в бумажном виде.</w:t>
      </w:r>
    </w:p>
    <w:p>
      <w:pPr>
        <w:spacing w:after="120"/>
        <w:ind w:firstLine="567"/>
        <w:jc w:val="both"/>
      </w:pPr>
      <w:r>
        <w:rPr>
          <w:rFonts w:ascii="Arial" w:cs="Arial" w:eastAsia="Arial" w:hAnsi="Arial"/>
          <w:sz w:val="24"/>
          <w:szCs w:val="24"/>
        </w:rPr>
        <w:t xml:space="preserve">13. В случае предоставления действующего документа, подтверждающего регистрацию в качестве медицинского изделия в странах Европейского союза, Австралии, Соединенном Королевстве Великобритании и Северной Ирландии, Канаде, Соединенных Штатах Америки, Швейцарии, Норвегии, Японии, заявителю нет необходимости предоставлять документы, указанные в пунктах 10, 13-15, 17-21 </w:t>
      </w:r>
      <w:hyperlink w:history="1" r:id="rIdsj8twzxgqzlatlkwjls3t">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При этом срок регистрации не должен превышать 30 календарных дней со дня подтверждения оплаты.</w:t>
      </w:r>
    </w:p>
    <w:p>
      <w:pPr>
        <w:spacing w:after="120"/>
        <w:ind w:firstLine="567"/>
        <w:jc w:val="both"/>
      </w:pPr>
      <w:r>
        <w:rPr>
          <w:rFonts w:ascii="Arial" w:cs="Arial" w:eastAsia="Arial" w:hAnsi="Arial"/>
          <w:sz w:val="24"/>
          <w:szCs w:val="24"/>
        </w:rPr>
        <w:t xml:space="preserve">14. При одновременной подаче на регистрацию нескольких моделей медицинского изделия, относящихся к одному виду медицинского изделия в соответствии с применяемой Глобальной номенклатурой медицинских изделий, изготовленных одним производителем по одной технической документации, отличающихся друг от друга комплектацией и (или) техническими параметрами, но не влияющих на принцип работы и функциональное назначение, относящихся к одному классу потенциального риска применения, заявитель представляет одно заявление и одно регистрационное досье.</w:t>
      </w:r>
    </w:p>
    <w:p>
      <w:pPr>
        <w:spacing w:after="120"/>
        <w:ind w:firstLine="567"/>
        <w:jc w:val="both"/>
      </w:pPr>
      <w:r>
        <w:rPr>
          <w:rFonts w:ascii="Arial" w:cs="Arial" w:eastAsia="Arial" w:hAnsi="Arial"/>
          <w:sz w:val="24"/>
          <w:szCs w:val="24"/>
        </w:rPr>
        <w:t xml:space="preserve">15. Государственная регистрация медицинского изделия проводится в срок не более 50 календарных дней со дня подтверждения оплаты.</w:t>
      </w:r>
    </w:p>
    <w:p>
      <w:pPr>
        <w:spacing w:after="120"/>
        <w:ind w:firstLine="567"/>
        <w:jc w:val="both"/>
      </w:pPr>
      <w:r>
        <w:rPr>
          <w:rFonts w:ascii="Arial" w:cs="Arial" w:eastAsia="Arial" w:hAnsi="Arial"/>
          <w:sz w:val="24"/>
          <w:szCs w:val="24"/>
        </w:rPr>
        <w:t xml:space="preserve">16. После приема заявления и регистрационного досье на регистрацию медицинского изделия в срок до 10 рабочих дней проводится первичная экспертиза регистрационного досье. Она включает в себя:</w:t>
      </w:r>
    </w:p>
    <w:p>
      <w:pPr>
        <w:spacing w:after="120"/>
        <w:ind w:firstLine="567"/>
        <w:jc w:val="both"/>
      </w:pPr>
      <w:r>
        <w:rPr>
          <w:rFonts w:ascii="Arial" w:cs="Arial" w:eastAsia="Arial" w:hAnsi="Arial"/>
          <w:sz w:val="24"/>
          <w:szCs w:val="24"/>
        </w:rPr>
        <w:t xml:space="preserve">1) оценку на полноту и комплектность документов регистрационного досье;</w:t>
      </w:r>
    </w:p>
    <w:p>
      <w:pPr>
        <w:spacing w:after="120"/>
        <w:ind w:firstLine="567"/>
        <w:jc w:val="both"/>
      </w:pPr>
      <w:r>
        <w:rPr>
          <w:rFonts w:ascii="Arial" w:cs="Arial" w:eastAsia="Arial" w:hAnsi="Arial"/>
          <w:sz w:val="24"/>
          <w:szCs w:val="24"/>
        </w:rPr>
        <w:t xml:space="preserve">2) оценку правильности отнесения изделия к медицинским изделиям;</w:t>
      </w:r>
    </w:p>
    <w:p>
      <w:pPr>
        <w:spacing w:after="120"/>
        <w:ind w:firstLine="567"/>
        <w:jc w:val="both"/>
      </w:pPr>
      <w:r>
        <w:rPr>
          <w:rFonts w:ascii="Arial" w:cs="Arial" w:eastAsia="Arial" w:hAnsi="Arial"/>
          <w:sz w:val="24"/>
          <w:szCs w:val="24"/>
        </w:rPr>
        <w:t xml:space="preserve">3) оценку соответствия указанного заявителем класса потенциального риска применения медицинского изделия в соответствии с Правилами классификации медицинских изделий в зависимости от потенциального риска применения, утвержденными решением Коллегии Евразийской экономической комиссии от 22 декабря 2015 года № 173;</w:t>
      </w:r>
    </w:p>
    <w:p>
      <w:pPr>
        <w:spacing w:after="120"/>
        <w:ind w:firstLine="567"/>
        <w:jc w:val="both"/>
      </w:pPr>
      <w:r>
        <w:rPr>
          <w:rFonts w:ascii="Arial" w:cs="Arial" w:eastAsia="Arial" w:hAnsi="Arial"/>
          <w:sz w:val="24"/>
          <w:szCs w:val="24"/>
        </w:rPr>
        <w:t xml:space="preserve">4) оценку соответствия моделей медицинского изделия (при наличии), включаемых в одно регистрационное досье согласно пункту 14.</w:t>
      </w:r>
    </w:p>
    <w:p>
      <w:pPr>
        <w:spacing w:after="120"/>
        <w:ind w:firstLine="567"/>
        <w:jc w:val="both"/>
      </w:pPr>
      <w:r>
        <w:rPr>
          <w:rFonts w:ascii="Arial" w:cs="Arial" w:eastAsia="Arial" w:hAnsi="Arial"/>
          <w:sz w:val="24"/>
          <w:szCs w:val="24"/>
        </w:rPr>
        <w:t xml:space="preserve">17. В случае разногласий между уполномоченным органом и заявителем по вопросам отнесения медицинского изделия к определенному виду медицинского изделия и классу потенциального риска последний имеет право оспорить решение уполномоченного органа в соответствии с действующим законодательством Кыргызской Республики.</w:t>
      </w:r>
    </w:p>
    <w:p>
      <w:pPr>
        <w:spacing w:after="120"/>
        <w:ind w:firstLine="567"/>
        <w:jc w:val="both"/>
      </w:pPr>
      <w:r>
        <w:rPr>
          <w:rFonts w:ascii="Arial" w:cs="Arial" w:eastAsia="Arial" w:hAnsi="Arial"/>
          <w:sz w:val="24"/>
          <w:szCs w:val="24"/>
        </w:rPr>
        <w:t xml:space="preserve">18. В случае представления заявителем документов регистрационного досье не в полном объеме уполномоченный орган в течение 5 рабочих дней со дня подачи заявления запрашивает недостающие документы и/или информацию для обеспечения полноты регистрационного досье.</w:t>
      </w:r>
    </w:p>
    <w:p>
      <w:pPr>
        <w:spacing w:after="120"/>
        <w:ind w:firstLine="567"/>
        <w:jc w:val="both"/>
      </w:pPr>
      <w:r>
        <w:rPr>
          <w:rFonts w:ascii="Arial" w:cs="Arial" w:eastAsia="Arial" w:hAnsi="Arial"/>
          <w:sz w:val="24"/>
          <w:szCs w:val="24"/>
        </w:rPr>
        <w:t xml:space="preserve">Запрос направляется однократно в ИС ЭБД ЛС и МИ. Заявитель обязан представить ответ на запрос в течение 30 рабочих дней со дня его получения, зафиксированного в ИС ЭБД ЛС и МИ.</w:t>
      </w:r>
    </w:p>
    <w:p>
      <w:pPr>
        <w:spacing w:after="120"/>
        <w:ind w:firstLine="567"/>
        <w:jc w:val="both"/>
      </w:pPr>
      <w:r>
        <w:rPr>
          <w:rFonts w:ascii="Arial" w:cs="Arial" w:eastAsia="Arial" w:hAnsi="Arial"/>
          <w:sz w:val="24"/>
          <w:szCs w:val="24"/>
        </w:rPr>
        <w:t xml:space="preserve">Указанный срок не входит в срок проведения государственной регистрации.</w:t>
      </w:r>
    </w:p>
    <w:p>
      <w:pPr>
        <w:spacing w:after="120"/>
        <w:ind w:firstLine="567"/>
        <w:jc w:val="both"/>
      </w:pPr>
      <w:r>
        <w:rPr>
          <w:rFonts w:ascii="Arial" w:cs="Arial" w:eastAsia="Arial" w:hAnsi="Arial"/>
          <w:sz w:val="24"/>
          <w:szCs w:val="24"/>
        </w:rPr>
        <w:t xml:space="preserve">19. На основании положительного заключения уполномоченного органа по итогам первичной экспертизы документов регистрационного досье уполномоченный орган выставляет счет на оплату. Заявитель производит оплату не позднее 21 рабочего дня со дня предъявления счета на оплату.</w:t>
      </w:r>
    </w:p>
    <w:p>
      <w:pPr>
        <w:spacing w:after="120"/>
        <w:ind w:firstLine="567"/>
        <w:jc w:val="both"/>
      </w:pPr>
      <w:r>
        <w:rPr>
          <w:rFonts w:ascii="Arial" w:cs="Arial" w:eastAsia="Arial" w:hAnsi="Arial"/>
          <w:sz w:val="24"/>
          <w:szCs w:val="24"/>
        </w:rPr>
        <w:t xml:space="preserve">Время, необходимое для оплаты, не входит в срок проведения экспертизы.</w:t>
      </w:r>
    </w:p>
    <w:p>
      <w:pPr>
        <w:spacing w:after="120"/>
        <w:ind w:firstLine="567"/>
        <w:jc w:val="both"/>
      </w:pPr>
      <w:r>
        <w:rPr>
          <w:rFonts w:ascii="Arial" w:cs="Arial" w:eastAsia="Arial" w:hAnsi="Arial"/>
          <w:sz w:val="24"/>
          <w:szCs w:val="24"/>
        </w:rPr>
        <w:t xml:space="preserve">Медицинские изделия, поступающие по линии международной донорской помощи в рамках программ в сфере здравоохранения, а также медицинские изделия, приобретенные через организации (представительства), учрежденные Организацией Объединенных Наций, заключившие договор (соглашение, меморандум) с Кабинетом Министров Кыргызской Республики, освобождаются от оплаты расходов, связанных с регистрацией медицинских изделий. Заявитель для подтверждения освобождения от оплаты предоставляет копии соответствующих документов.</w:t>
      </w:r>
    </w:p>
    <w:p>
      <w:pPr>
        <w:spacing w:after="120"/>
        <w:ind w:firstLine="567"/>
        <w:jc w:val="both"/>
      </w:pPr>
      <w:r>
        <w:rPr>
          <w:rFonts w:ascii="Arial" w:cs="Arial" w:eastAsia="Arial" w:hAnsi="Arial"/>
          <w:sz w:val="24"/>
          <w:szCs w:val="24"/>
        </w:rPr>
        <w:t xml:space="preserve">20. После подтверждения оплаты уполномоченный орган проводит экспертизу безопасности, эффективности и качества медицинского изделия. Невнесение заявителем оплаты за государственную регистрацию медицинского изделия в установленный срок является основанием для отказа в государственной регистрации медицинского изделия.</w:t>
      </w:r>
    </w:p>
    <w:p>
      <w:pPr>
        <w:spacing w:after="120"/>
        <w:ind w:firstLine="567"/>
        <w:jc w:val="both"/>
      </w:pPr>
      <w:r>
        <w:rPr>
          <w:rFonts w:ascii="Arial" w:cs="Arial" w:eastAsia="Arial" w:hAnsi="Arial"/>
          <w:sz w:val="24"/>
          <w:szCs w:val="24"/>
        </w:rPr>
        <w:t xml:space="preserve">21. В случае если медицинское изделие является средством измерения, то оно подлежит обязательному прохождению процедур (утверждение типа или регистрации средств измерений, внесение в Государственный реестр средств измерений и стандартных образцов, поверка), предусмотренных действующим законодательством в сфере обеспечения единства измерений в Кыргызской Республике.</w:t>
      </w:r>
    </w:p>
    <w:p>
      <w:pPr>
        <w:spacing w:after="240" w:before="200"/>
        <w:jc w:val="center"/>
      </w:pPr>
      <w:r>
        <w:rPr>
          <w:rFonts w:ascii="Arial" w:cs="Arial" w:eastAsia="Arial" w:hAnsi="Arial"/>
          <w:b/>
          <w:bCs/>
          <w:sz w:val="32"/>
          <w:szCs w:val="32"/>
        </w:rPr>
        <w:t xml:space="preserve">Глава 3. Порядок проведения экспертизы безопасности, эффективности и качества медицинских изделий</w:t>
      </w:r>
    </w:p>
    <w:p>
      <w:pPr>
        <w:spacing w:after="120"/>
        <w:ind w:firstLine="567"/>
        <w:jc w:val="both"/>
      </w:pPr>
      <w:r>
        <w:rPr>
          <w:rFonts w:ascii="Arial" w:cs="Arial" w:eastAsia="Arial" w:hAnsi="Arial"/>
          <w:sz w:val="24"/>
          <w:szCs w:val="24"/>
        </w:rPr>
        <w:t xml:space="preserve">22. Экспертиза безопасности, эффективности и качества медицинского изделия включает в себя:</w:t>
      </w:r>
    </w:p>
    <w:p>
      <w:pPr>
        <w:spacing w:after="120"/>
        <w:ind w:firstLine="567"/>
        <w:jc w:val="both"/>
      </w:pPr>
      <w:r>
        <w:rPr>
          <w:rFonts w:ascii="Arial" w:cs="Arial" w:eastAsia="Arial" w:hAnsi="Arial"/>
          <w:sz w:val="24"/>
          <w:szCs w:val="24"/>
        </w:rPr>
        <w:t xml:space="preserve">1) анализ протоколов технических испытаний, выданных уполномоченными организациями, имеющими право проводить исследования (испытания) медицинских изделий;</w:t>
      </w:r>
    </w:p>
    <w:p>
      <w:pPr>
        <w:spacing w:after="120"/>
        <w:ind w:firstLine="567"/>
        <w:jc w:val="both"/>
      </w:pPr>
      <w:r>
        <w:rPr>
          <w:rFonts w:ascii="Arial" w:cs="Arial" w:eastAsia="Arial" w:hAnsi="Arial"/>
          <w:sz w:val="24"/>
          <w:szCs w:val="24"/>
        </w:rPr>
        <w:t xml:space="preserve">2) анализ протоколов исследований (испытаний) с целью оценки биологического действия медицинских изделий, выданных уполномоченными организациями, имеющими право проводить исследования (испытания) медицинских изделий;</w:t>
      </w:r>
    </w:p>
    <w:p>
      <w:pPr>
        <w:spacing w:after="120"/>
        <w:ind w:firstLine="567"/>
        <w:jc w:val="both"/>
      </w:pPr>
      <w:r>
        <w:rPr>
          <w:rFonts w:ascii="Arial" w:cs="Arial" w:eastAsia="Arial" w:hAnsi="Arial"/>
          <w:sz w:val="24"/>
          <w:szCs w:val="24"/>
        </w:rPr>
        <w:t xml:space="preserve">3) анализ отчета по оценке биологического действия медицинского изделия;</w:t>
      </w:r>
    </w:p>
    <w:p>
      <w:pPr>
        <w:spacing w:after="120"/>
        <w:ind w:firstLine="567"/>
        <w:jc w:val="both"/>
      </w:pPr>
      <w:r>
        <w:rPr>
          <w:rFonts w:ascii="Arial" w:cs="Arial" w:eastAsia="Arial" w:hAnsi="Arial"/>
          <w:sz w:val="24"/>
          <w:szCs w:val="24"/>
        </w:rPr>
        <w:t xml:space="preserve">4) анализ отчета о клиническом доказательстве эффективности и безопасности медицинского изделия;</w:t>
      </w:r>
    </w:p>
    <w:p>
      <w:pPr>
        <w:spacing w:after="120"/>
        <w:ind w:firstLine="567"/>
        <w:jc w:val="both"/>
      </w:pPr>
      <w:r>
        <w:rPr>
          <w:rFonts w:ascii="Arial" w:cs="Arial" w:eastAsia="Arial" w:hAnsi="Arial"/>
          <w:sz w:val="24"/>
          <w:szCs w:val="24"/>
        </w:rPr>
        <w:t xml:space="preserve">5) анализ отчетов о клинических (клинико-лабораторных) испытаниях (исследованиях) медицинских изделий;</w:t>
      </w:r>
    </w:p>
    <w:p>
      <w:pPr>
        <w:spacing w:after="120"/>
        <w:ind w:firstLine="567"/>
        <w:jc w:val="both"/>
      </w:pPr>
      <w:r>
        <w:rPr>
          <w:rFonts w:ascii="Arial" w:cs="Arial" w:eastAsia="Arial" w:hAnsi="Arial"/>
          <w:sz w:val="24"/>
          <w:szCs w:val="24"/>
        </w:rPr>
        <w:t xml:space="preserve">6) анализ стандартов, применяемых производителем при проектировании и производстве медицинского изделия;</w:t>
      </w:r>
    </w:p>
    <w:p>
      <w:pPr>
        <w:spacing w:after="120"/>
        <w:ind w:firstLine="567"/>
        <w:jc w:val="both"/>
      </w:pPr>
      <w:r>
        <w:rPr>
          <w:rFonts w:ascii="Arial" w:cs="Arial" w:eastAsia="Arial" w:hAnsi="Arial"/>
          <w:sz w:val="24"/>
          <w:szCs w:val="24"/>
        </w:rPr>
        <w:t xml:space="preserve">7) анализ безопасности и эффективности лекарственного средства в составе медицинского изделия, его влияния на функциональность медицинского изделия, совместимости лекарственного средства с медицинским изделием (за исключением медицинских изделий для диагностики in vitro). Лекарственное средство должно быть зарегистрированным и разрешенным к применению в стране-производителе лекарственного средства (если применимо);</w:t>
      </w:r>
    </w:p>
    <w:p>
      <w:pPr>
        <w:spacing w:after="120"/>
        <w:ind w:firstLine="567"/>
        <w:jc w:val="both"/>
      </w:pPr>
      <w:r>
        <w:rPr>
          <w:rFonts w:ascii="Arial" w:cs="Arial" w:eastAsia="Arial" w:hAnsi="Arial"/>
          <w:sz w:val="24"/>
          <w:szCs w:val="24"/>
        </w:rPr>
        <w:t xml:space="preserve">8) анализ данных о биологической безопасности медицинского изделия на основе анализа всех материалов животного или человеческого происхождения, входящих в медицинское изделие, информации о подборе источников (доноров), отборе материала, процессинге, хранении, тестировании, валидации процедур тестирования, а также обращении с тканями, клетками, субстанциями животного или человеческого происхождения, культурами микроорганизмов и вирусов (если применимо);</w:t>
      </w:r>
    </w:p>
    <w:p>
      <w:pPr>
        <w:spacing w:after="120"/>
        <w:ind w:firstLine="567"/>
        <w:jc w:val="both"/>
      </w:pPr>
      <w:r>
        <w:rPr>
          <w:rFonts w:ascii="Arial" w:cs="Arial" w:eastAsia="Arial" w:hAnsi="Arial"/>
          <w:sz w:val="24"/>
          <w:szCs w:val="24"/>
        </w:rPr>
        <w:t xml:space="preserve">9) анализ процедуры и методов стерилизации медицинского изделия, материалов, обосновывающих способ стерилизации, предлагаемых методов контроля качества и определения остатков стерилизующего вещества при применении химического способа стерилизации (если применимо);</w:t>
      </w:r>
    </w:p>
    <w:p>
      <w:pPr>
        <w:spacing w:after="120"/>
        <w:ind w:firstLine="567"/>
        <w:jc w:val="both"/>
      </w:pPr>
      <w:r>
        <w:rPr>
          <w:rFonts w:ascii="Arial" w:cs="Arial" w:eastAsia="Arial" w:hAnsi="Arial"/>
          <w:sz w:val="24"/>
          <w:szCs w:val="24"/>
        </w:rPr>
        <w:t xml:space="preserve">10) анализ данных верификации и валидации программного обеспечения, в том числе информации о его разработке, мерах и средствах защиты от несанкционированного доступа и обеспечении кибербезопасности, тестировании производителем, данных об идентификации и маркировке (если применимо);</w:t>
      </w:r>
    </w:p>
    <w:p>
      <w:pPr>
        <w:spacing w:after="120"/>
        <w:ind w:firstLine="567"/>
        <w:jc w:val="both"/>
      </w:pPr>
      <w:r>
        <w:rPr>
          <w:rFonts w:ascii="Arial" w:cs="Arial" w:eastAsia="Arial" w:hAnsi="Arial"/>
          <w:sz w:val="24"/>
          <w:szCs w:val="24"/>
        </w:rPr>
        <w:t xml:space="preserve">11) анализ отчета о стабильности медицинского изделия, обоснованности заявленного срока хранения (если применимо);</w:t>
      </w:r>
    </w:p>
    <w:p>
      <w:pPr>
        <w:spacing w:after="120"/>
        <w:ind w:firstLine="567"/>
        <w:jc w:val="both"/>
      </w:pPr>
      <w:r>
        <w:rPr>
          <w:rFonts w:ascii="Arial" w:cs="Arial" w:eastAsia="Arial" w:hAnsi="Arial"/>
          <w:sz w:val="24"/>
          <w:szCs w:val="24"/>
        </w:rPr>
        <w:t xml:space="preserve">12) анализ отчета рисков на основе анализа соотношения "польза-риск";</w:t>
      </w:r>
    </w:p>
    <w:p>
      <w:pPr>
        <w:spacing w:after="120"/>
        <w:ind w:firstLine="567"/>
        <w:jc w:val="both"/>
      </w:pPr>
      <w:r>
        <w:rPr>
          <w:rFonts w:ascii="Arial" w:cs="Arial" w:eastAsia="Arial" w:hAnsi="Arial"/>
          <w:sz w:val="24"/>
          <w:szCs w:val="24"/>
        </w:rPr>
        <w:t xml:space="preserve">13) анализ эксплуатационного документа или инструкции по применению, руководства по сервисному обслуживанию;</w:t>
      </w:r>
    </w:p>
    <w:p>
      <w:pPr>
        <w:spacing w:after="120"/>
        <w:ind w:firstLine="567"/>
        <w:jc w:val="both"/>
      </w:pPr>
      <w:r>
        <w:rPr>
          <w:rFonts w:ascii="Arial" w:cs="Arial" w:eastAsia="Arial" w:hAnsi="Arial"/>
          <w:sz w:val="24"/>
          <w:szCs w:val="24"/>
        </w:rPr>
        <w:t xml:space="preserve">14) оценку соответствия маркировки медицинского изделия требованиям к маркировке и упаковке медицинских изделий;</w:t>
      </w:r>
    </w:p>
    <w:p>
      <w:pPr>
        <w:spacing w:after="120"/>
        <w:ind w:firstLine="567"/>
        <w:jc w:val="both"/>
      </w:pPr>
      <w:r>
        <w:rPr>
          <w:rFonts w:ascii="Arial" w:cs="Arial" w:eastAsia="Arial" w:hAnsi="Arial"/>
          <w:sz w:val="24"/>
          <w:szCs w:val="24"/>
        </w:rPr>
        <w:t xml:space="preserve">15) анализ данных о сертификации системы менеджмента качества (при наличии), в том числе требований, на соответствие которым сертифицирована система менеджмента качества производителя, и сведений о сертификатах (номер, дата выдачи, срок действия сертификата, наименование и сведения об аккредитации органа по сертификации);</w:t>
      </w:r>
    </w:p>
    <w:p>
      <w:pPr>
        <w:spacing w:after="120"/>
        <w:ind w:firstLine="567"/>
        <w:jc w:val="both"/>
      </w:pPr>
      <w:r>
        <w:rPr>
          <w:rFonts w:ascii="Arial" w:cs="Arial" w:eastAsia="Arial" w:hAnsi="Arial"/>
          <w:sz w:val="24"/>
          <w:szCs w:val="24"/>
        </w:rPr>
        <w:t xml:space="preserve">16) подтверждение обоснованности указания производственных площадок регистрируемого медицинского изделия;</w:t>
      </w:r>
    </w:p>
    <w:p>
      <w:pPr>
        <w:spacing w:after="120"/>
        <w:ind w:firstLine="567"/>
        <w:jc w:val="both"/>
      </w:pPr>
      <w:r>
        <w:rPr>
          <w:rFonts w:ascii="Arial" w:cs="Arial" w:eastAsia="Arial" w:hAnsi="Arial"/>
          <w:sz w:val="24"/>
          <w:szCs w:val="24"/>
        </w:rPr>
        <w:t xml:space="preserve">17) анализ данных о разработке и производстве медицинского изделия (схемы процессов производства, информация об основных стадиях производства, упаковки, испытаний и о процедуре выпуска конечного продукта);</w:t>
      </w:r>
    </w:p>
    <w:p>
      <w:pPr>
        <w:spacing w:after="120"/>
        <w:ind w:firstLine="567"/>
        <w:jc w:val="both"/>
      </w:pPr>
      <w:r>
        <w:rPr>
          <w:rFonts w:ascii="Arial" w:cs="Arial" w:eastAsia="Arial" w:hAnsi="Arial"/>
          <w:sz w:val="24"/>
          <w:szCs w:val="24"/>
        </w:rPr>
        <w:t xml:space="preserve">18) анализ представленных производителем сведений о наличии или отсутствии сообщений о нежелательных событиях и (или) несчастных случаях, связанных с использованием медицинского изделия, отзывах с рынка медицинского изделия, уведомлений по безопасности медицинского изделия, подходов к решению таких проблем производителем при их возникновении, описания предпринятых корректирующих действий, а также анализ соотношения уровня продаж, количества несчастных случаев и отзывов медицинского изделия из обращения;</w:t>
      </w:r>
    </w:p>
    <w:p>
      <w:pPr>
        <w:spacing w:after="120"/>
        <w:ind w:firstLine="567"/>
        <w:jc w:val="both"/>
      </w:pPr>
      <w:r>
        <w:rPr>
          <w:rFonts w:ascii="Arial" w:cs="Arial" w:eastAsia="Arial" w:hAnsi="Arial"/>
          <w:sz w:val="24"/>
          <w:szCs w:val="24"/>
        </w:rPr>
        <w:t xml:space="preserve">19) анализ плана сбора данных по безопасности и эффективности медицинского изделия на постпродажном этапе (для медицинских изделий 2б (имплантируемые) и 3 класса потенциального риска).</w:t>
      </w:r>
    </w:p>
    <w:p>
      <w:pPr>
        <w:spacing w:after="120"/>
        <w:ind w:firstLine="567"/>
        <w:jc w:val="both"/>
      </w:pPr>
      <w:r>
        <w:rPr>
          <w:rFonts w:ascii="Arial" w:cs="Arial" w:eastAsia="Arial" w:hAnsi="Arial"/>
          <w:sz w:val="24"/>
          <w:szCs w:val="24"/>
        </w:rPr>
        <w:t xml:space="preserve">23. В случае установления необходимости восполнения информации, уточнения данных, содержащихся в регистрационном досье медицинского изделия, уполномоченный орган однократно направляет заявителю соответствующий запрос в ИС ЭБД ЛС и МИ. Заявитель обязан представить ответ на запрос в течение 30 рабочих дней со дня его получения.</w:t>
      </w:r>
    </w:p>
    <w:p>
      <w:pPr>
        <w:spacing w:after="120"/>
        <w:ind w:firstLine="567"/>
        <w:jc w:val="both"/>
      </w:pPr>
      <w:r>
        <w:rPr>
          <w:rFonts w:ascii="Arial" w:cs="Arial" w:eastAsia="Arial" w:hAnsi="Arial"/>
          <w:sz w:val="24"/>
          <w:szCs w:val="24"/>
        </w:rPr>
        <w:t xml:space="preserve">Указанный срок не входит в срок проведения государственной регистрации.</w:t>
      </w:r>
    </w:p>
    <w:p>
      <w:pPr>
        <w:spacing w:after="120"/>
        <w:ind w:firstLine="567"/>
        <w:jc w:val="both"/>
      </w:pPr>
      <w:r>
        <w:rPr>
          <w:rFonts w:ascii="Arial" w:cs="Arial" w:eastAsia="Arial" w:hAnsi="Arial"/>
          <w:sz w:val="24"/>
          <w:szCs w:val="24"/>
        </w:rPr>
        <w:t xml:space="preserve">24. В случае необходимости проведения инспектирования производства уполномоченный орган принимает решение о начале проведения инспектирования производства и уведомляет заявителя о принятом решении путем направления уведомления.</w:t>
      </w:r>
    </w:p>
    <w:p>
      <w:pPr>
        <w:spacing w:after="120"/>
        <w:ind w:firstLine="567"/>
        <w:jc w:val="both"/>
      </w:pPr>
      <w:r>
        <w:rPr>
          <w:rFonts w:ascii="Arial" w:cs="Arial" w:eastAsia="Arial" w:hAnsi="Arial"/>
          <w:sz w:val="24"/>
          <w:szCs w:val="24"/>
        </w:rPr>
        <w:t xml:space="preserve">25. Инспектирование производства медицинских изделий осуществляется в случаях, если:</w:t>
      </w:r>
    </w:p>
    <w:p>
      <w:pPr>
        <w:spacing w:after="120"/>
        <w:ind w:firstLine="567"/>
        <w:jc w:val="both"/>
      </w:pPr>
      <w:r>
        <w:rPr>
          <w:rFonts w:ascii="Arial" w:cs="Arial" w:eastAsia="Arial" w:hAnsi="Arial"/>
          <w:sz w:val="24"/>
          <w:szCs w:val="24"/>
        </w:rPr>
        <w:t xml:space="preserve">1) медицинское изделие относится к 2а (стерильное), 2б и 3 классам потенциального риска применения;</w:t>
      </w:r>
    </w:p>
    <w:p>
      <w:pPr>
        <w:spacing w:after="120"/>
        <w:ind w:firstLine="567"/>
        <w:jc w:val="both"/>
      </w:pPr>
      <w:r>
        <w:rPr>
          <w:rFonts w:ascii="Arial" w:cs="Arial" w:eastAsia="Arial" w:hAnsi="Arial"/>
          <w:sz w:val="24"/>
          <w:szCs w:val="24"/>
        </w:rPr>
        <w:t xml:space="preserve">2) медицинское изделие отечественного производства.</w:t>
      </w:r>
    </w:p>
    <w:p>
      <w:pPr>
        <w:spacing w:after="120"/>
        <w:ind w:firstLine="567"/>
        <w:jc w:val="both"/>
      </w:pPr>
      <w:r>
        <w:rPr>
          <w:rFonts w:ascii="Arial" w:cs="Arial" w:eastAsia="Arial" w:hAnsi="Arial"/>
          <w:sz w:val="24"/>
          <w:szCs w:val="24"/>
        </w:rPr>
        <w:t xml:space="preserve">26. Инспектирование производства не проводится в случаях, указанных в пункте 13.</w:t>
      </w:r>
    </w:p>
    <w:p>
      <w:pPr>
        <w:spacing w:after="120"/>
        <w:ind w:firstLine="567"/>
        <w:jc w:val="both"/>
      </w:pPr>
      <w:r>
        <w:rPr>
          <w:rFonts w:ascii="Arial" w:cs="Arial" w:eastAsia="Arial" w:hAnsi="Arial"/>
          <w:sz w:val="24"/>
          <w:szCs w:val="24"/>
        </w:rPr>
        <w:t xml:space="preserve">27. Срок организации и проведения инспекции не входит в общий срок проведения государственной регистрации и не должен в совокупности превышать 90 календарных дней.</w:t>
      </w:r>
    </w:p>
    <w:p>
      <w:pPr>
        <w:spacing w:after="120"/>
        <w:ind w:firstLine="567"/>
        <w:jc w:val="both"/>
      </w:pPr>
      <w:r>
        <w:rPr>
          <w:rFonts w:ascii="Arial" w:cs="Arial" w:eastAsia="Arial" w:hAnsi="Arial"/>
          <w:sz w:val="24"/>
          <w:szCs w:val="24"/>
        </w:rPr>
        <w:t xml:space="preserve">28. По итогам экспертизы безопасности, эффективности и качества медицинского изделия, отчета о результатах инспектирования (при ее проведении) уполномоченным органом составляется экспертное заключение.</w:t>
      </w:r>
    </w:p>
    <w:p>
      <w:pPr>
        <w:spacing w:after="120"/>
        <w:ind w:firstLine="567"/>
        <w:jc w:val="both"/>
      </w:pPr>
      <w:r>
        <w:rPr>
          <w:rFonts w:ascii="Arial" w:cs="Arial" w:eastAsia="Arial" w:hAnsi="Arial"/>
          <w:sz w:val="24"/>
          <w:szCs w:val="24"/>
        </w:rPr>
        <w:t xml:space="preserve">29. На основании экспертного заключения уполномоченный орган принимает в срок, не превышающий 3 рабочих дней, решение о государственной регистрации или отказе в государственной регистрации медицинского изделия.</w:t>
      </w:r>
    </w:p>
    <w:p>
      <w:pPr>
        <w:spacing w:after="120"/>
        <w:ind w:firstLine="567"/>
        <w:jc w:val="both"/>
      </w:pPr>
      <w:r>
        <w:rPr>
          <w:rFonts w:ascii="Arial" w:cs="Arial" w:eastAsia="Arial" w:hAnsi="Arial"/>
          <w:sz w:val="24"/>
          <w:szCs w:val="24"/>
        </w:rPr>
        <w:t xml:space="preserve">30. Основаниями для отказа в государственной регистрации медицинского изделия являются:</w:t>
      </w:r>
    </w:p>
    <w:p>
      <w:pPr>
        <w:spacing w:after="120"/>
        <w:ind w:firstLine="567"/>
        <w:jc w:val="both"/>
      </w:pPr>
      <w:r>
        <w:rPr>
          <w:rFonts w:ascii="Arial" w:cs="Arial" w:eastAsia="Arial" w:hAnsi="Arial"/>
          <w:sz w:val="24"/>
          <w:szCs w:val="24"/>
        </w:rPr>
        <w:t xml:space="preserve">1) неподтверждение соответствующими материалами и сведениями, содержащимися в регистрационном досье, качества и (или) эффективности, и (или) безопасности медицинского изделия;</w:t>
      </w:r>
    </w:p>
    <w:p>
      <w:pPr>
        <w:spacing w:after="120"/>
        <w:ind w:firstLine="567"/>
        <w:jc w:val="both"/>
      </w:pPr>
      <w:r>
        <w:rPr>
          <w:rFonts w:ascii="Arial" w:cs="Arial" w:eastAsia="Arial" w:hAnsi="Arial"/>
          <w:sz w:val="24"/>
          <w:szCs w:val="24"/>
        </w:rPr>
        <w:t xml:space="preserve">2) превышение риска причинения вреда здоровью граждан и медицинских работников вследствие применения медицинского изделия над эффективностью его применения;</w:t>
      </w:r>
    </w:p>
    <w:p>
      <w:pPr>
        <w:spacing w:after="120"/>
        <w:ind w:firstLine="567"/>
        <w:jc w:val="both"/>
      </w:pPr>
      <w:r>
        <w:rPr>
          <w:rFonts w:ascii="Arial" w:cs="Arial" w:eastAsia="Arial" w:hAnsi="Arial"/>
          <w:sz w:val="24"/>
          <w:szCs w:val="24"/>
        </w:rPr>
        <w:t xml:space="preserve">3) непредставление заявителем по запросу уполномоченного органа недостающих документов и (или) информации для обеспечения полноты регистрационного досье;</w:t>
      </w:r>
    </w:p>
    <w:p>
      <w:pPr>
        <w:spacing w:after="120"/>
        <w:ind w:firstLine="567"/>
        <w:jc w:val="both"/>
      </w:pPr>
      <w:r>
        <w:rPr>
          <w:rFonts w:ascii="Arial" w:cs="Arial" w:eastAsia="Arial" w:hAnsi="Arial"/>
          <w:sz w:val="24"/>
          <w:szCs w:val="24"/>
        </w:rPr>
        <w:t xml:space="preserve">4) невнесение заявителем оплаты за регистрацию медицинского изделия.</w:t>
      </w:r>
    </w:p>
    <w:p>
      <w:pPr>
        <w:spacing w:after="120"/>
        <w:ind w:firstLine="567"/>
        <w:jc w:val="both"/>
      </w:pPr>
      <w:r>
        <w:rPr>
          <w:rFonts w:ascii="Arial" w:cs="Arial" w:eastAsia="Arial" w:hAnsi="Arial"/>
          <w:sz w:val="24"/>
          <w:szCs w:val="24"/>
        </w:rPr>
        <w:t xml:space="preserve">31. О принятом решении об отказе в государственной регистрации медицинского изделия уполномоченный орган в течение 10 рабочих дней направляет заявителю уведомление с обоснованием причин отказа.</w:t>
      </w:r>
    </w:p>
    <w:p>
      <w:pPr>
        <w:spacing w:after="120"/>
        <w:ind w:firstLine="567"/>
        <w:jc w:val="both"/>
      </w:pPr>
      <w:r>
        <w:rPr>
          <w:rFonts w:ascii="Arial" w:cs="Arial" w:eastAsia="Arial" w:hAnsi="Arial"/>
          <w:sz w:val="24"/>
          <w:szCs w:val="24"/>
        </w:rPr>
        <w:t xml:space="preserve">32. Регистрационное досье и регистрационный взнос при этом заявителю не возвращаются.</w:t>
      </w:r>
    </w:p>
    <w:p>
      <w:pPr>
        <w:spacing w:after="120"/>
        <w:ind w:firstLine="567"/>
        <w:jc w:val="both"/>
      </w:pPr>
      <w:r>
        <w:rPr>
          <w:rFonts w:ascii="Arial" w:cs="Arial" w:eastAsia="Arial" w:hAnsi="Arial"/>
          <w:sz w:val="24"/>
          <w:szCs w:val="24"/>
        </w:rPr>
        <w:t xml:space="preserve">33. Отказ уполномоченного органа в регистрации медицинского изделия может быть обжалован заявителем в соответствии с действующим законодательством Кыргызской Республики.</w:t>
      </w:r>
    </w:p>
    <w:p>
      <w:pPr>
        <w:spacing w:after="120"/>
        <w:ind w:firstLine="567"/>
        <w:jc w:val="both"/>
      </w:pPr>
      <w:r>
        <w:rPr>
          <w:rFonts w:ascii="Arial" w:cs="Arial" w:eastAsia="Arial" w:hAnsi="Arial"/>
          <w:sz w:val="24"/>
          <w:szCs w:val="24"/>
        </w:rPr>
        <w:t xml:space="preserve">34. В случае если экспертное заключение относительно возможности регистрации медицинского изделия является положительным, уполномоченный орган в течение 10 рабочих дней со дня издания приказа о государственной регистрации медицинского изделия оформляет регистрационное удостоверение по форме, утвержденной уполномоченным органом, являющееся документом строгой отчетности.</w:t>
      </w:r>
    </w:p>
    <w:p>
      <w:pPr>
        <w:spacing w:after="120"/>
        <w:ind w:firstLine="567"/>
        <w:jc w:val="both"/>
      </w:pPr>
      <w:r>
        <w:rPr>
          <w:rFonts w:ascii="Arial" w:cs="Arial" w:eastAsia="Arial" w:hAnsi="Arial"/>
          <w:sz w:val="24"/>
          <w:szCs w:val="24"/>
        </w:rPr>
        <w:t xml:space="preserve">35. Информация о зарегистрированных медицинских изделиях со дня издания приказа о государственной регистрации медицинского изделия уполномоченным органом вносится в Государственный реестр в виде реестровой записи с присвоением медицинскому изделию регистрационного номера.</w:t>
      </w:r>
    </w:p>
    <w:p>
      <w:pPr>
        <w:spacing w:after="240" w:before="200"/>
        <w:jc w:val="center"/>
      </w:pPr>
      <w:r>
        <w:rPr>
          <w:rFonts w:ascii="Arial" w:cs="Arial" w:eastAsia="Arial" w:hAnsi="Arial"/>
          <w:b/>
          <w:bCs/>
          <w:sz w:val="32"/>
          <w:szCs w:val="32"/>
        </w:rPr>
        <w:t xml:space="preserve">Глава 4. Ведение Государственного реестра медицинских изделий</w:t>
      </w:r>
    </w:p>
    <w:p>
      <w:pPr>
        <w:spacing w:after="120"/>
        <w:ind w:firstLine="567"/>
        <w:jc w:val="both"/>
      </w:pPr>
      <w:r>
        <w:rPr>
          <w:rFonts w:ascii="Arial" w:cs="Arial" w:eastAsia="Arial" w:hAnsi="Arial"/>
          <w:sz w:val="24"/>
          <w:szCs w:val="24"/>
        </w:rPr>
        <w:t xml:space="preserve">36. Государственный реестр содержит следующую информацию о медицинском изделии:</w:t>
      </w:r>
    </w:p>
    <w:p>
      <w:pPr>
        <w:spacing w:after="120"/>
        <w:ind w:firstLine="567"/>
        <w:jc w:val="both"/>
      </w:pPr>
      <w:r>
        <w:rPr>
          <w:rFonts w:ascii="Arial" w:cs="Arial" w:eastAsia="Arial" w:hAnsi="Arial"/>
          <w:sz w:val="24"/>
          <w:szCs w:val="24"/>
        </w:rPr>
        <w:t xml:space="preserve">1) регистрационный номер и дата регистрации;</w:t>
      </w:r>
    </w:p>
    <w:p>
      <w:pPr>
        <w:spacing w:after="120"/>
        <w:ind w:firstLine="567"/>
        <w:jc w:val="both"/>
      </w:pPr>
      <w:r>
        <w:rPr>
          <w:rFonts w:ascii="Arial" w:cs="Arial" w:eastAsia="Arial" w:hAnsi="Arial"/>
          <w:sz w:val="24"/>
          <w:szCs w:val="24"/>
        </w:rPr>
        <w:t xml:space="preserve">2) наименование медицинского изделия;</w:t>
      </w:r>
    </w:p>
    <w:p>
      <w:pPr>
        <w:spacing w:after="120"/>
        <w:ind w:firstLine="567"/>
        <w:jc w:val="both"/>
      </w:pPr>
      <w:r>
        <w:rPr>
          <w:rFonts w:ascii="Arial" w:cs="Arial" w:eastAsia="Arial" w:hAnsi="Arial"/>
          <w:sz w:val="24"/>
          <w:szCs w:val="24"/>
        </w:rPr>
        <w:t xml:space="preserve">3) вид медицинского изделия;</w:t>
      </w:r>
    </w:p>
    <w:p>
      <w:pPr>
        <w:spacing w:after="120"/>
        <w:ind w:firstLine="567"/>
        <w:jc w:val="both"/>
      </w:pPr>
      <w:r>
        <w:rPr>
          <w:rFonts w:ascii="Arial" w:cs="Arial" w:eastAsia="Arial" w:hAnsi="Arial"/>
          <w:sz w:val="24"/>
          <w:szCs w:val="24"/>
        </w:rPr>
        <w:t xml:space="preserve">4) класс потенциального риска;</w:t>
      </w:r>
    </w:p>
    <w:p>
      <w:pPr>
        <w:spacing w:after="120"/>
        <w:ind w:firstLine="567"/>
        <w:jc w:val="both"/>
      </w:pPr>
      <w:r>
        <w:rPr>
          <w:rFonts w:ascii="Arial" w:cs="Arial" w:eastAsia="Arial" w:hAnsi="Arial"/>
          <w:sz w:val="24"/>
          <w:szCs w:val="24"/>
        </w:rPr>
        <w:t xml:space="preserve">5) наименование производителя и страна;</w:t>
      </w:r>
    </w:p>
    <w:p>
      <w:pPr>
        <w:spacing w:after="120"/>
        <w:ind w:firstLine="567"/>
        <w:jc w:val="both"/>
      </w:pPr>
      <w:r>
        <w:rPr>
          <w:rFonts w:ascii="Arial" w:cs="Arial" w:eastAsia="Arial" w:hAnsi="Arial"/>
          <w:sz w:val="24"/>
          <w:szCs w:val="24"/>
        </w:rPr>
        <w:t xml:space="preserve">6) статус регистрационного удостоверения.</w:t>
      </w:r>
    </w:p>
    <w:p>
      <w:pPr>
        <w:spacing w:after="120"/>
        <w:ind w:firstLine="567"/>
        <w:jc w:val="both"/>
      </w:pPr>
      <w:r>
        <w:rPr>
          <w:rFonts w:ascii="Arial" w:cs="Arial" w:eastAsia="Arial" w:hAnsi="Arial"/>
          <w:sz w:val="24"/>
          <w:szCs w:val="24"/>
        </w:rPr>
        <w:t xml:space="preserve">37. Государственный реестр ведется уполномоченным органом, публикуется на официальном сайте уполномоченного органа и обновляется на постоянной основе в онлайн-режиме.</w:t>
      </w:r>
    </w:p>
    <w:p>
      <w:pPr>
        <w:spacing w:after="120"/>
        <w:ind w:firstLine="567"/>
        <w:jc w:val="both"/>
      </w:pPr>
      <w:r>
        <w:rPr>
          <w:rFonts w:ascii="Arial" w:cs="Arial" w:eastAsia="Arial" w:hAnsi="Arial"/>
          <w:sz w:val="24"/>
          <w:szCs w:val="24"/>
        </w:rPr>
        <w:t xml:space="preserve">38. В Государственном реестре сохраняется история изменений реестровых записей с указанием даты и времени создания записей. Удаление сведений из Государственного реестра не допускается.</w:t>
      </w:r>
    </w:p>
    <w:p>
      <w:pPr>
        <w:spacing w:after="240" w:before="200"/>
        <w:jc w:val="center"/>
      </w:pPr>
      <w:r>
        <w:rPr>
          <w:rFonts w:ascii="Arial" w:cs="Arial" w:eastAsia="Arial" w:hAnsi="Arial"/>
          <w:b/>
          <w:bCs/>
          <w:sz w:val="32"/>
          <w:szCs w:val="32"/>
        </w:rPr>
        <w:t xml:space="preserve">Глава 5. Порядок ведения номенклатуры медицинских изделий</w:t>
      </w:r>
    </w:p>
    <w:p>
      <w:pPr>
        <w:spacing w:after="120"/>
        <w:ind w:firstLine="567"/>
        <w:jc w:val="both"/>
      </w:pPr>
      <w:r>
        <w:rPr>
          <w:rFonts w:ascii="Arial" w:cs="Arial" w:eastAsia="Arial" w:hAnsi="Arial"/>
          <w:sz w:val="24"/>
          <w:szCs w:val="24"/>
        </w:rPr>
        <w:t xml:space="preserve">39. Уполномоченный орган формирует номенклатуру медицинских изделий с использованием Глобальной номенклатуры медицинских изделий.</w:t>
      </w:r>
    </w:p>
    <w:p>
      <w:pPr>
        <w:spacing w:after="120"/>
        <w:ind w:firstLine="567"/>
        <w:jc w:val="both"/>
      </w:pPr>
      <w:r>
        <w:rPr>
          <w:rFonts w:ascii="Arial" w:cs="Arial" w:eastAsia="Arial" w:hAnsi="Arial"/>
          <w:sz w:val="24"/>
          <w:szCs w:val="24"/>
        </w:rPr>
        <w:t xml:space="preserve">40. Наименование и описание каждого вида медицинского изделия применяемой уполномоченным органом номенклатуры должны соответствовать наименованию и описанию вида медицинского изделия, включенного в Глобальную номенклатуру медицинских изделий.</w:t>
      </w:r>
    </w:p>
    <w:p>
      <w:pPr>
        <w:spacing w:after="120"/>
        <w:ind w:firstLine="567"/>
        <w:jc w:val="both"/>
      </w:pPr>
      <w:r>
        <w:rPr>
          <w:rFonts w:ascii="Arial" w:cs="Arial" w:eastAsia="Arial" w:hAnsi="Arial"/>
          <w:sz w:val="24"/>
          <w:szCs w:val="24"/>
        </w:rPr>
        <w:t xml:space="preserve">41. Если заявитель при подаче на регистрацию медицинского изделия предоставляет сведения о коде вида номенклатуры, уполномоченный орган в ходе экспертизы проверяет его соответствие коду номенклатуры.</w:t>
      </w:r>
    </w:p>
    <w:p>
      <w:pPr>
        <w:spacing w:after="240" w:before="200"/>
        <w:jc w:val="center"/>
      </w:pPr>
      <w:r>
        <w:rPr>
          <w:rFonts w:ascii="Arial" w:cs="Arial" w:eastAsia="Arial" w:hAnsi="Arial"/>
          <w:b/>
          <w:bCs/>
          <w:sz w:val="32"/>
          <w:szCs w:val="32"/>
        </w:rPr>
        <w:t xml:space="preserve">Глава 6. Требования к маркировке и упаковке медицинских изделий</w:t>
      </w:r>
    </w:p>
    <w:p>
      <w:pPr>
        <w:spacing w:after="120"/>
        <w:ind w:firstLine="567"/>
        <w:jc w:val="both"/>
      </w:pPr>
      <w:r>
        <w:rPr>
          <w:rFonts w:ascii="Arial" w:cs="Arial" w:eastAsia="Arial" w:hAnsi="Arial"/>
          <w:sz w:val="24"/>
          <w:szCs w:val="24"/>
        </w:rPr>
        <w:t xml:space="preserve">42. Маркировка медицинского изделия должна содержать следующие данные:</w:t>
      </w:r>
    </w:p>
    <w:p>
      <w:pPr>
        <w:spacing w:after="120"/>
        <w:ind w:firstLine="567"/>
        <w:jc w:val="both"/>
      </w:pPr>
      <w:r>
        <w:rPr>
          <w:rFonts w:ascii="Arial" w:cs="Arial" w:eastAsia="Arial" w:hAnsi="Arial"/>
          <w:sz w:val="24"/>
          <w:szCs w:val="24"/>
        </w:rPr>
        <w:t xml:space="preserve">1) наименование и (или) торговое наименование медицинского изделия;</w:t>
      </w:r>
    </w:p>
    <w:p>
      <w:pPr>
        <w:spacing w:after="120"/>
        <w:ind w:firstLine="567"/>
        <w:jc w:val="both"/>
      </w:pPr>
      <w:r>
        <w:rPr>
          <w:rFonts w:ascii="Arial" w:cs="Arial" w:eastAsia="Arial" w:hAnsi="Arial"/>
          <w:sz w:val="24"/>
          <w:szCs w:val="24"/>
        </w:rPr>
        <w:t xml:space="preserve">2) информация, необходимая для идентификации медицинского изделия, а также информация о его назначении (при необходимости);</w:t>
      </w:r>
    </w:p>
    <w:p>
      <w:pPr>
        <w:spacing w:after="120"/>
        <w:ind w:firstLine="567"/>
        <w:jc w:val="both"/>
      </w:pPr>
      <w:r>
        <w:rPr>
          <w:rFonts w:ascii="Arial" w:cs="Arial" w:eastAsia="Arial" w:hAnsi="Arial"/>
          <w:sz w:val="24"/>
          <w:szCs w:val="24"/>
        </w:rPr>
        <w:t xml:space="preserve">3) сведения о производителе, включая полное и сокращенное (при наличии) наименование юридического лица, местонахождение (фамилия, имя, отчество (при наличии) и место жительства физического лица, зарегистрированного в качестве индивидуального предпринимателя), почтовый адрес производителя, страна происхождения медицинского изделия. Почтовый адрес производителя может не указываться в маркировке, если он содержится в инструкции по применению, прилагаемой к медицинскому изделию.</w:t>
      </w:r>
    </w:p>
    <w:p>
      <w:pPr>
        <w:spacing w:after="120"/>
        <w:ind w:firstLine="567"/>
        <w:jc w:val="both"/>
      </w:pPr>
      <w:r>
        <w:rPr>
          <w:rFonts w:ascii="Arial" w:cs="Arial" w:eastAsia="Arial" w:hAnsi="Arial"/>
          <w:sz w:val="24"/>
          <w:szCs w:val="24"/>
        </w:rPr>
        <w:t xml:space="preserve">В случае отсутствия возможности маркировки на государственном и официальном языках допускается маркировка на английском языке с одновременным предоставлением соответствующих макетов самоклеющейся этикетки (стикер), содержащей соответствующую информацию о медицинском изделии на официальном и государственном языках. Дополнительная маркировка не должна скрывать маркировку, содержащую сведения о производителе медицинского изделия;</w:t>
      </w:r>
    </w:p>
    <w:p>
      <w:pPr>
        <w:spacing w:after="120"/>
        <w:ind w:firstLine="567"/>
        <w:jc w:val="both"/>
      </w:pPr>
      <w:r>
        <w:rPr>
          <w:rFonts w:ascii="Arial" w:cs="Arial" w:eastAsia="Arial" w:hAnsi="Arial"/>
          <w:sz w:val="24"/>
          <w:szCs w:val="24"/>
        </w:rPr>
        <w:t xml:space="preserve">4) информация о наличии в медицинском изделии лекарственных средств или биологических материалов, а также наноматериалов, если такие наноматериалы не содержатся в связанном состоянии, исключающем возможность их попадания в организм пользователя при использовании медицинского изделия по назначению, определенному производителем;</w:t>
      </w:r>
    </w:p>
    <w:p>
      <w:pPr>
        <w:spacing w:after="120"/>
        <w:ind w:firstLine="567"/>
        <w:jc w:val="both"/>
      </w:pPr>
      <w:r>
        <w:rPr>
          <w:rFonts w:ascii="Arial" w:cs="Arial" w:eastAsia="Arial" w:hAnsi="Arial"/>
          <w:sz w:val="24"/>
          <w:szCs w:val="24"/>
        </w:rPr>
        <w:t xml:space="preserve">5) код (номер) партии или серийный номер медицинского изделия;</w:t>
      </w:r>
    </w:p>
    <w:p>
      <w:pPr>
        <w:spacing w:after="120"/>
        <w:ind w:firstLine="567"/>
        <w:jc w:val="both"/>
      </w:pPr>
      <w:r>
        <w:rPr>
          <w:rFonts w:ascii="Arial" w:cs="Arial" w:eastAsia="Arial" w:hAnsi="Arial"/>
          <w:sz w:val="24"/>
          <w:szCs w:val="24"/>
        </w:rPr>
        <w:t xml:space="preserve">6) срок (с указанием года и месяца), до истечения которого медицинское изделие может безопасно использоваться;</w:t>
      </w:r>
    </w:p>
    <w:p>
      <w:pPr>
        <w:spacing w:after="120"/>
        <w:ind w:firstLine="567"/>
        <w:jc w:val="both"/>
      </w:pPr>
      <w:r>
        <w:rPr>
          <w:rFonts w:ascii="Arial" w:cs="Arial" w:eastAsia="Arial" w:hAnsi="Arial"/>
          <w:sz w:val="24"/>
          <w:szCs w:val="24"/>
        </w:rPr>
        <w:t xml:space="preserve">7) год выпуска медицинского изделия, если не указан срок, до истечения которого медицинское изделие может безопасно использоваться. Год выпуска медицинского изделия включается в номер партии или серийный номер при условии, что год выпуска легко идентифицируется в составе такого номера;</w:t>
      </w:r>
    </w:p>
    <w:p>
      <w:pPr>
        <w:spacing w:after="120"/>
        <w:ind w:firstLine="567"/>
        <w:jc w:val="both"/>
      </w:pPr>
      <w:r>
        <w:rPr>
          <w:rFonts w:ascii="Arial" w:cs="Arial" w:eastAsia="Arial" w:hAnsi="Arial"/>
          <w:sz w:val="24"/>
          <w:szCs w:val="24"/>
        </w:rPr>
        <w:t xml:space="preserve">8) информация об особых условиях хранения и (или) обращения медицинского изделия (при необходимости);</w:t>
      </w:r>
    </w:p>
    <w:p>
      <w:pPr>
        <w:spacing w:after="120"/>
        <w:ind w:firstLine="567"/>
        <w:jc w:val="both"/>
      </w:pPr>
      <w:r>
        <w:rPr>
          <w:rFonts w:ascii="Arial" w:cs="Arial" w:eastAsia="Arial" w:hAnsi="Arial"/>
          <w:sz w:val="24"/>
          <w:szCs w:val="24"/>
        </w:rPr>
        <w:t xml:space="preserve">9) информация о стерильности медицинского изделия (если медицинское изделие поставляется в стерильном виде) с указанием метода стерилизации;</w:t>
      </w:r>
    </w:p>
    <w:p>
      <w:pPr>
        <w:spacing w:after="120"/>
        <w:ind w:firstLine="567"/>
        <w:jc w:val="both"/>
      </w:pPr>
      <w:r>
        <w:rPr>
          <w:rFonts w:ascii="Arial" w:cs="Arial" w:eastAsia="Arial" w:hAnsi="Arial"/>
          <w:sz w:val="24"/>
          <w:szCs w:val="24"/>
        </w:rPr>
        <w:t xml:space="preserve">10) предупреждение или меры предосторожности, которые указываются таким образом, чтобы привлечь внимание пользователя или третьего лица. Эта информация может быть сведена к минимуму в случае, если более детальная информация содержится в инструкции по применению;</w:t>
      </w:r>
    </w:p>
    <w:p>
      <w:pPr>
        <w:spacing w:after="120"/>
        <w:ind w:firstLine="567"/>
        <w:jc w:val="both"/>
      </w:pPr>
      <w:r>
        <w:rPr>
          <w:rFonts w:ascii="Arial" w:cs="Arial" w:eastAsia="Arial" w:hAnsi="Arial"/>
          <w:sz w:val="24"/>
          <w:szCs w:val="24"/>
        </w:rPr>
        <w:t xml:space="preserve">11) информация об одноразовом использовании медицинского изделия (если медицинское изделие предназначается для одноразового использования);</w:t>
      </w:r>
    </w:p>
    <w:p>
      <w:pPr>
        <w:spacing w:after="120"/>
        <w:ind w:firstLine="567"/>
        <w:jc w:val="both"/>
      </w:pPr>
      <w:r>
        <w:rPr>
          <w:rFonts w:ascii="Arial" w:cs="Arial" w:eastAsia="Arial" w:hAnsi="Arial"/>
          <w:sz w:val="24"/>
          <w:szCs w:val="24"/>
        </w:rPr>
        <w:t xml:space="preserve">12) информация о восстановлении медицинского изделия с указанием числа произведенных циклов восстановления и любых ограничений по числу циклов восстановления (если медицинское изделие для одноразового использования является восстановленным);</w:t>
      </w:r>
    </w:p>
    <w:p>
      <w:pPr>
        <w:spacing w:after="120"/>
        <w:ind w:firstLine="567"/>
        <w:jc w:val="both"/>
      </w:pPr>
      <w:r>
        <w:rPr>
          <w:rFonts w:ascii="Arial" w:cs="Arial" w:eastAsia="Arial" w:hAnsi="Arial"/>
          <w:sz w:val="24"/>
          <w:szCs w:val="24"/>
        </w:rPr>
        <w:t xml:space="preserve">13) информация об изготовлении медицинского изделия по индивидуальному заказу пользователя исключительно для личного применения в соответствии с назначением медицинского специалиста, выданным в письменной форме;</w:t>
      </w:r>
    </w:p>
    <w:p>
      <w:pPr>
        <w:spacing w:after="120"/>
        <w:ind w:firstLine="567"/>
        <w:jc w:val="both"/>
      </w:pPr>
      <w:r>
        <w:rPr>
          <w:rFonts w:ascii="Arial" w:cs="Arial" w:eastAsia="Arial" w:hAnsi="Arial"/>
          <w:sz w:val="24"/>
          <w:szCs w:val="24"/>
        </w:rPr>
        <w:t xml:space="preserve">14) информация о предназначении медицинского изделия только для проведения клинических испытаний в целях регистрации;</w:t>
      </w:r>
    </w:p>
    <w:p>
      <w:pPr>
        <w:spacing w:after="120"/>
        <w:ind w:firstLine="567"/>
        <w:jc w:val="both"/>
      </w:pPr>
      <w:r>
        <w:rPr>
          <w:rFonts w:ascii="Arial" w:cs="Arial" w:eastAsia="Arial" w:hAnsi="Arial"/>
          <w:sz w:val="24"/>
          <w:szCs w:val="24"/>
        </w:rPr>
        <w:t xml:space="preserve">15) информация о предназначении медицинского изделия только для выставочных или демонстрационных целей. В этом случае требования по маркировке, указанные в подпунктах 1-14 настоящего пункта, не являются обязательными;</w:t>
      </w:r>
    </w:p>
    <w:p>
      <w:pPr>
        <w:spacing w:after="120"/>
        <w:ind w:firstLine="567"/>
        <w:jc w:val="both"/>
      </w:pPr>
      <w:r>
        <w:rPr>
          <w:rFonts w:ascii="Arial" w:cs="Arial" w:eastAsia="Arial" w:hAnsi="Arial"/>
          <w:sz w:val="24"/>
          <w:szCs w:val="24"/>
        </w:rPr>
        <w:t xml:space="preserve">16) информация об инактивации возможных вирусов и других инфекционных агентов в медицинском изделии, наносимая в виде надписи "антитела к ВИЧ 1, 2 и вирусам гепатитов С и HBsAg отсутствуют" (если медицинское изделие имеет в своем составе сыворотку (плазму) крови человека или элементы ткани человека).</w:t>
      </w:r>
    </w:p>
    <w:p>
      <w:pPr>
        <w:spacing w:after="120"/>
        <w:ind w:firstLine="567"/>
        <w:jc w:val="both"/>
      </w:pPr>
      <w:r>
        <w:rPr>
          <w:rFonts w:ascii="Arial" w:cs="Arial" w:eastAsia="Arial" w:hAnsi="Arial"/>
          <w:sz w:val="24"/>
          <w:szCs w:val="24"/>
        </w:rPr>
        <w:t xml:space="preserve">43. В случае если медицинские изделия или их компоненты, предназначенные для введения в организм и выведения из организма человека лекарственных средств, жидкостей организма или других веществ либо для транспортировки и хранения таких средств, жидкостей или веществ, содержат вредные вещества, обладающие в зависимости от их концентрации канцерогенными, мутагенными или токсичными для репродуктивной функции свойствами, или содержат фталаты, то такие медицинские изделия подлежат специальной маркировке. Эта специальная маркировка наносится на медицинское изделие и его упаковку либо при необходимости на внешнюю упаковку, используемую для хранения и транспортировки медицинского изделия.</w:t>
      </w:r>
    </w:p>
    <w:p>
      <w:pPr>
        <w:spacing w:after="120"/>
        <w:ind w:firstLine="567"/>
        <w:jc w:val="both"/>
      </w:pPr>
      <w:r>
        <w:rPr>
          <w:rFonts w:ascii="Arial" w:cs="Arial" w:eastAsia="Arial" w:hAnsi="Arial"/>
          <w:sz w:val="24"/>
          <w:szCs w:val="24"/>
        </w:rPr>
        <w:t xml:space="preserve">44. Маркировка стерильных и нестерильных медицинских изделий должна обеспечивать возможность разграничения идентичных или схожих видов медицинских изделий, выпущенных в обращение в стерильном и нестерильном виде, и различаться таким образом, чтобы пользователь мог с помощью маркировки отличить стерильное медицинское изделие от нестерильного.</w:t>
      </w:r>
    </w:p>
    <w:p>
      <w:pPr>
        <w:spacing w:after="120"/>
        <w:ind w:firstLine="567"/>
        <w:jc w:val="both"/>
      </w:pPr>
      <w:r>
        <w:rPr>
          <w:rFonts w:ascii="Arial" w:cs="Arial" w:eastAsia="Arial" w:hAnsi="Arial"/>
          <w:sz w:val="24"/>
          <w:szCs w:val="24"/>
        </w:rPr>
        <w:t xml:space="preserve">45. Маркировка должна быть нанесена на медицинское изделие. Если это невозможно или нецелесообразно, маркировка (частично или полностью) может быть нанесена на упаковку для каждой единицы медицинского изделия и (или) на групповую упаковку, и (или) на инструкцию по применению.</w:t>
      </w:r>
    </w:p>
    <w:p>
      <w:pPr>
        <w:spacing w:after="120"/>
        <w:ind w:firstLine="567"/>
        <w:jc w:val="both"/>
      </w:pPr>
      <w:r>
        <w:rPr>
          <w:rFonts w:ascii="Arial" w:cs="Arial" w:eastAsia="Arial" w:hAnsi="Arial"/>
          <w:sz w:val="24"/>
          <w:szCs w:val="24"/>
        </w:rPr>
        <w:t xml:space="preserve">46. Маркировка может быть дополнена информацией о медицинском изделии в машиночитаемом формате, в том числе с использованием радиочастотной идентификации или штрих-кодов.</w:t>
      </w:r>
    </w:p>
    <w:p>
      <w:pPr>
        <w:spacing w:after="240" w:before="200"/>
        <w:jc w:val="center"/>
      </w:pPr>
      <w:r>
        <w:rPr>
          <w:rFonts w:ascii="Arial" w:cs="Arial" w:eastAsia="Arial" w:hAnsi="Arial"/>
          <w:b/>
          <w:bCs/>
          <w:sz w:val="32"/>
          <w:szCs w:val="32"/>
        </w:rPr>
        <w:t xml:space="preserve">Глава 7. Внесение изменений в регистрационное досье зарегистрированного медицинского изделия</w:t>
      </w:r>
    </w:p>
    <w:p>
      <w:pPr>
        <w:spacing w:after="120"/>
        <w:ind w:firstLine="567"/>
        <w:jc w:val="both"/>
      </w:pPr>
      <w:r>
        <w:rPr>
          <w:rFonts w:ascii="Arial" w:cs="Arial" w:eastAsia="Arial" w:hAnsi="Arial"/>
          <w:sz w:val="24"/>
          <w:szCs w:val="24"/>
        </w:rPr>
        <w:t xml:space="preserve">47. Порядок внесения изменений в регистрационное досье (далее - внесение изменений) включает в себя оценку полноты, комплектности и правильности оформления документов, экспертизу влияния вносимых изменений на безопасность, качество и эффективность медицинских изделий.</w:t>
      </w:r>
    </w:p>
    <w:p>
      <w:pPr>
        <w:spacing w:after="120"/>
        <w:ind w:firstLine="567"/>
        <w:jc w:val="both"/>
      </w:pPr>
      <w:r>
        <w:rPr>
          <w:rFonts w:ascii="Arial" w:cs="Arial" w:eastAsia="Arial" w:hAnsi="Arial"/>
          <w:sz w:val="24"/>
          <w:szCs w:val="24"/>
        </w:rPr>
        <w:t xml:space="preserve">48. Производитель в течение 2 месяцев со дня внесения изменений в документы, представленные в рамках регистрации медицинского изделия, обязан инициировать процедуру внесения изменений путем подачи в уполномоченный орган заявления по форме, утвержденной уполномоченным органом, с приложением документов, подтверждающих изменения, по Перечню изменений, вносимых в регистрационное досье медицинского изделия в период действия регистрационного удостоверения и не требующих новой регистрации, согласно </w:t>
      </w:r>
      <w:hyperlink w:history="1" r:id="rIdnm_3la_0rj4d9dgrvpsc3">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49. После приема заявления и документов, подтверждающих изменения, уполномоченный орган в течение 10 рабочих дней проводит оценку полноты, комплектности, правильности оформления документов и достоверности содержащихся в них сведений.</w:t>
      </w:r>
    </w:p>
    <w:p>
      <w:pPr>
        <w:spacing w:after="120"/>
        <w:ind w:firstLine="567"/>
        <w:jc w:val="both"/>
      </w:pPr>
      <w:r>
        <w:rPr>
          <w:rFonts w:ascii="Arial" w:cs="Arial" w:eastAsia="Arial" w:hAnsi="Arial"/>
          <w:sz w:val="24"/>
          <w:szCs w:val="24"/>
        </w:rPr>
        <w:t xml:space="preserve">50. В случае если вышеуказанные документы представлены не в полном объеме, уполномоченный орган в срок до 10 рабочих дней со дня подачи заявления однократно направляет запрос о необходимости устранения выявленных нарушений и (или) представления отсутствующих документов не позднее 20 рабочих дней со дня получения запроса в ИС ЭБД ЛС и МИ. Время, необходимое для рассмотрения запроса и подготовки ответа заявителем, не входит в срок внесения изменений.</w:t>
      </w:r>
    </w:p>
    <w:p>
      <w:pPr>
        <w:spacing w:after="120"/>
        <w:ind w:firstLine="567"/>
        <w:jc w:val="both"/>
      </w:pPr>
      <w:r>
        <w:rPr>
          <w:rFonts w:ascii="Arial" w:cs="Arial" w:eastAsia="Arial" w:hAnsi="Arial"/>
          <w:sz w:val="24"/>
          <w:szCs w:val="24"/>
        </w:rPr>
        <w:t xml:space="preserve">51. В случае если по истечении 20 рабочих дней заявителем не устранены выявленные нарушения и (или) не представлены отсутствующие документы, уполномоченный орган в течение 3 рабочих дней уведомляет заявителя об отказе во внесении изменений.</w:t>
      </w:r>
    </w:p>
    <w:p>
      <w:pPr>
        <w:spacing w:after="120"/>
        <w:ind w:firstLine="567"/>
        <w:jc w:val="both"/>
      </w:pPr>
      <w:r>
        <w:rPr>
          <w:rFonts w:ascii="Arial" w:cs="Arial" w:eastAsia="Arial" w:hAnsi="Arial"/>
          <w:sz w:val="24"/>
          <w:szCs w:val="24"/>
        </w:rPr>
        <w:t xml:space="preserve">52. На основании положительного заключения по итогам оценки полноты, комплектности и правильности оформления документов уполномоченный орган выставляет счет на оплату. Заявитель производит оплату не позднее 10 рабочих дней со дня предъявления счета на оплату. Время, необходимое для оплаты, не входит в срок проведения экспертизы.</w:t>
      </w:r>
    </w:p>
    <w:p>
      <w:pPr>
        <w:spacing w:after="120"/>
        <w:ind w:firstLine="567"/>
        <w:jc w:val="both"/>
      </w:pPr>
      <w:r>
        <w:rPr>
          <w:rFonts w:ascii="Arial" w:cs="Arial" w:eastAsia="Arial" w:hAnsi="Arial"/>
          <w:sz w:val="24"/>
          <w:szCs w:val="24"/>
        </w:rPr>
        <w:t xml:space="preserve">Невнесение заявителем оплаты является основанием для отказа во внесении изменений.</w:t>
      </w:r>
    </w:p>
    <w:p>
      <w:pPr>
        <w:spacing w:after="120"/>
        <w:ind w:firstLine="567"/>
        <w:jc w:val="both"/>
      </w:pPr>
      <w:r>
        <w:rPr>
          <w:rFonts w:ascii="Arial" w:cs="Arial" w:eastAsia="Arial" w:hAnsi="Arial"/>
          <w:sz w:val="24"/>
          <w:szCs w:val="24"/>
        </w:rPr>
        <w:t xml:space="preserve">53. Основанием для назначения и проведения экспертизы вносимых изменений является положительное заключение по итогам оценки полноты и комплектности документов и внесение оплаты за проведение экспертизы.</w:t>
      </w:r>
    </w:p>
    <w:p>
      <w:pPr>
        <w:spacing w:after="120"/>
        <w:ind w:firstLine="567"/>
        <w:jc w:val="both"/>
      </w:pPr>
      <w:r>
        <w:rPr>
          <w:rFonts w:ascii="Arial" w:cs="Arial" w:eastAsia="Arial" w:hAnsi="Arial"/>
          <w:sz w:val="24"/>
          <w:szCs w:val="24"/>
        </w:rPr>
        <w:t xml:space="preserve">54. Проведение экспертизы документов и принятие решения уполномоченным органом по внесению изменений осуществляются в срок, не превышающий 30 рабочих дней.</w:t>
      </w:r>
    </w:p>
    <w:p>
      <w:pPr>
        <w:spacing w:after="120"/>
        <w:ind w:firstLine="567"/>
        <w:jc w:val="both"/>
      </w:pPr>
      <w:r>
        <w:rPr>
          <w:rFonts w:ascii="Arial" w:cs="Arial" w:eastAsia="Arial" w:hAnsi="Arial"/>
          <w:sz w:val="24"/>
          <w:szCs w:val="24"/>
        </w:rPr>
        <w:t xml:space="preserve">55. При проведении экспертизы в случае недостаточности материалов и сведений, содержащихся в заявлении о внесении изменений и документах, подтверждающих изменения, уполномоченный орган направляет заявителю соответствующий запрос. Запрос направляется однократно в ИС ЭБД ЛС и МИ.</w:t>
      </w:r>
    </w:p>
    <w:p>
      <w:pPr>
        <w:spacing w:after="120"/>
        <w:ind w:firstLine="567"/>
        <w:jc w:val="both"/>
      </w:pPr>
      <w:r>
        <w:rPr>
          <w:rFonts w:ascii="Arial" w:cs="Arial" w:eastAsia="Arial" w:hAnsi="Arial"/>
          <w:sz w:val="24"/>
          <w:szCs w:val="24"/>
        </w:rPr>
        <w:t xml:space="preserve">56. Заявитель обязан представить ответ на запрос в течение 30 рабочих дней со дня его получения. В случае непредставления указанного ответа в срок уполномоченный орган принимает решение об отказе во внесении изменений.</w:t>
      </w:r>
    </w:p>
    <w:p>
      <w:pPr>
        <w:spacing w:after="120"/>
        <w:ind w:firstLine="567"/>
        <w:jc w:val="both"/>
      </w:pPr>
      <w:r>
        <w:rPr>
          <w:rFonts w:ascii="Arial" w:cs="Arial" w:eastAsia="Arial" w:hAnsi="Arial"/>
          <w:sz w:val="24"/>
          <w:szCs w:val="24"/>
        </w:rPr>
        <w:t xml:space="preserve">57. По результатам экспертизы уполномоченный орган принимает решение о возможности (невозможности) внесения изменений в регистрационное досье зарегистрированного медицинского изделия в срок, не превышающий 7 рабочих дней со дня составления экспертного заключения.</w:t>
      </w:r>
    </w:p>
    <w:p>
      <w:pPr>
        <w:spacing w:after="120"/>
        <w:ind w:firstLine="567"/>
        <w:jc w:val="both"/>
      </w:pPr>
      <w:r>
        <w:rPr>
          <w:rFonts w:ascii="Arial" w:cs="Arial" w:eastAsia="Arial" w:hAnsi="Arial"/>
          <w:sz w:val="24"/>
          <w:szCs w:val="24"/>
        </w:rPr>
        <w:t xml:space="preserve">58. Уполномоченный орган со дня принятия решения вносит в Государственный реестр запись о внесенных изменениях.</w:t>
      </w:r>
    </w:p>
    <w:p>
      <w:pPr>
        <w:spacing w:after="120"/>
        <w:ind w:firstLine="567"/>
        <w:jc w:val="both"/>
      </w:pPr>
      <w:r>
        <w:rPr>
          <w:rFonts w:ascii="Arial" w:cs="Arial" w:eastAsia="Arial" w:hAnsi="Arial"/>
          <w:sz w:val="24"/>
          <w:szCs w:val="24"/>
        </w:rPr>
        <w:t xml:space="preserve">59. При внесении изменений в регистрационное досье в части изменений в инструкцию по медицинскому применению медицинского изделия и маркировки уполномоченным органом размещается в ИС ЭБД ЛС и МИ новая инструкция по медицинскому применению, а также новые макеты упаковок (этикеток, стикеров) в течение 3 рабочих дней со дня принятия уполномоченным органом решения о внесении изменений.</w:t>
      </w:r>
    </w:p>
    <w:p>
      <w:pPr>
        <w:spacing w:after="120"/>
        <w:ind w:firstLine="567"/>
        <w:jc w:val="both"/>
      </w:pPr>
      <w:r>
        <w:rPr>
          <w:rFonts w:ascii="Arial" w:cs="Arial" w:eastAsia="Arial" w:hAnsi="Arial"/>
          <w:sz w:val="24"/>
          <w:szCs w:val="24"/>
        </w:rPr>
        <w:t xml:space="preserve">60. В случае если вносимые изменения затрагивают информацию и данные регистрационного удостоверения, заявителю в течение 5 рабочих дней оформляется новое регистрационное удостоверение под прежним номером.</w:t>
      </w:r>
    </w:p>
    <w:p>
      <w:pPr>
        <w:spacing w:after="120"/>
        <w:ind w:firstLine="567"/>
        <w:jc w:val="both"/>
      </w:pPr>
      <w:r>
        <w:rPr>
          <w:rFonts w:ascii="Arial" w:cs="Arial" w:eastAsia="Arial" w:hAnsi="Arial"/>
          <w:sz w:val="24"/>
          <w:szCs w:val="24"/>
        </w:rPr>
        <w:t xml:space="preserve">61. При принятии решения о невозможности внесения изменений уполномоченный орган в течение 5 рабочих дней направляет уведомление заявителю о принятом решении. Оплата за экспертизу при этом заявителю не возвращается.</w:t>
      </w:r>
    </w:p>
    <w:p>
      <w:pPr>
        <w:spacing w:after="120"/>
        <w:ind w:firstLine="567"/>
        <w:jc w:val="both"/>
      </w:pPr>
      <w:r>
        <w:rPr>
          <w:rFonts w:ascii="Arial" w:cs="Arial" w:eastAsia="Arial" w:hAnsi="Arial"/>
          <w:sz w:val="24"/>
          <w:szCs w:val="24"/>
        </w:rPr>
        <w:t xml:space="preserve">62. Основаниями для отказа уполномоченным органом во внесении изменений являются:</w:t>
      </w:r>
    </w:p>
    <w:p>
      <w:pPr>
        <w:spacing w:after="120"/>
        <w:ind w:firstLine="567"/>
        <w:jc w:val="both"/>
      </w:pPr>
      <w:r>
        <w:rPr>
          <w:rFonts w:ascii="Arial" w:cs="Arial" w:eastAsia="Arial" w:hAnsi="Arial"/>
          <w:sz w:val="24"/>
          <w:szCs w:val="24"/>
        </w:rPr>
        <w:t xml:space="preserve">1) непредставление заявителем по запросу уполномоченного органа недостающих документов и (или) информации для обеспечения соответствия регистрационного досье;</w:t>
      </w:r>
    </w:p>
    <w:p>
      <w:pPr>
        <w:spacing w:after="120"/>
        <w:ind w:firstLine="567"/>
        <w:jc w:val="both"/>
      </w:pPr>
      <w:r>
        <w:rPr>
          <w:rFonts w:ascii="Arial" w:cs="Arial" w:eastAsia="Arial" w:hAnsi="Arial"/>
          <w:sz w:val="24"/>
          <w:szCs w:val="24"/>
        </w:rPr>
        <w:t xml:space="preserve">2) недостоверность представленных сведений, обосновывающих внесение изменений;</w:t>
      </w:r>
    </w:p>
    <w:p>
      <w:pPr>
        <w:spacing w:after="120"/>
        <w:ind w:firstLine="567"/>
        <w:jc w:val="both"/>
      </w:pPr>
      <w:r>
        <w:rPr>
          <w:rFonts w:ascii="Arial" w:cs="Arial" w:eastAsia="Arial" w:hAnsi="Arial"/>
          <w:sz w:val="24"/>
          <w:szCs w:val="24"/>
        </w:rPr>
        <w:t xml:space="preserve">3) отсутствие сведений, подтверждающих неизменность функционального назначения и (или) принципа действия медицинского изделия в связи с вносимыми изменениями;</w:t>
      </w:r>
    </w:p>
    <w:p>
      <w:pPr>
        <w:spacing w:after="120"/>
        <w:ind w:firstLine="567"/>
        <w:jc w:val="both"/>
      </w:pPr>
      <w:r>
        <w:rPr>
          <w:rFonts w:ascii="Arial" w:cs="Arial" w:eastAsia="Arial" w:hAnsi="Arial"/>
          <w:sz w:val="24"/>
          <w:szCs w:val="24"/>
        </w:rPr>
        <w:t xml:space="preserve">4) невнесение заявителем оплаты за экспертизу вносимых изменений.</w:t>
      </w:r>
    </w:p>
    <w:p>
      <w:pPr>
        <w:spacing w:after="120"/>
        <w:ind w:firstLine="567"/>
        <w:jc w:val="both"/>
      </w:pPr>
      <w:r>
        <w:rPr>
          <w:rFonts w:ascii="Arial" w:cs="Arial" w:eastAsia="Arial" w:hAnsi="Arial"/>
          <w:sz w:val="24"/>
          <w:szCs w:val="24"/>
        </w:rPr>
        <w:t xml:space="preserve">63. Разрешается производство и ввоз медицинского изделия с ранее утвержденной маркировкой и с инструкцией по применению в течение 90 календарных дней с даты внесения изменений.</w:t>
      </w:r>
    </w:p>
    <w:p>
      <w:pPr>
        <w:spacing w:after="120"/>
        <w:ind w:firstLine="567"/>
        <w:jc w:val="both"/>
      </w:pPr>
      <w:r>
        <w:rPr>
          <w:rFonts w:ascii="Arial" w:cs="Arial" w:eastAsia="Arial" w:hAnsi="Arial"/>
          <w:sz w:val="24"/>
          <w:szCs w:val="24"/>
        </w:rPr>
        <w:t xml:space="preserve">Допускается одновременная реализация медицинского изделия в ранее и вновь утвержденной маркировке, с ранее и вновь утвержденной инструкцией по применению до окончания срока годности медицинского изделия.</w:t>
      </w:r>
    </w:p>
    <w:p>
      <w:pPr>
        <w:spacing w:after="240" w:before="200"/>
        <w:jc w:val="center"/>
      </w:pPr>
      <w:r>
        <w:rPr>
          <w:rFonts w:ascii="Arial" w:cs="Arial" w:eastAsia="Arial" w:hAnsi="Arial"/>
          <w:b/>
          <w:bCs/>
          <w:sz w:val="32"/>
          <w:szCs w:val="32"/>
        </w:rPr>
        <w:t xml:space="preserve">Глава 8. Порядок приостановления или отмены действия (аннулирования) регистрационного удостоверения</w:t>
      </w:r>
    </w:p>
    <w:p>
      <w:pPr>
        <w:spacing w:after="120"/>
        <w:ind w:firstLine="567"/>
        <w:jc w:val="both"/>
      </w:pPr>
      <w:r>
        <w:rPr>
          <w:rFonts w:ascii="Arial" w:cs="Arial" w:eastAsia="Arial" w:hAnsi="Arial"/>
          <w:sz w:val="24"/>
          <w:szCs w:val="24"/>
        </w:rPr>
        <w:t xml:space="preserve">64. Приостановление действия регистрационного удостоверения осуществляется уполномоченным органом в следующих случаях:</w:t>
      </w:r>
    </w:p>
    <w:p>
      <w:pPr>
        <w:spacing w:after="120"/>
        <w:ind w:firstLine="567"/>
        <w:jc w:val="both"/>
      </w:pPr>
      <w:r>
        <w:rPr>
          <w:rFonts w:ascii="Arial" w:cs="Arial" w:eastAsia="Arial" w:hAnsi="Arial"/>
          <w:sz w:val="24"/>
          <w:szCs w:val="24"/>
        </w:rPr>
        <w:t xml:space="preserve">1) по результатам мониторинга безопасности, качества и эффективности медицинских изделий в пострегистрационный период (при выявлении потенциальной серьезной угрозы здоровью человека);</w:t>
      </w:r>
    </w:p>
    <w:p>
      <w:pPr>
        <w:spacing w:after="120"/>
        <w:ind w:firstLine="567"/>
        <w:jc w:val="both"/>
      </w:pPr>
      <w:r>
        <w:rPr>
          <w:rFonts w:ascii="Arial" w:cs="Arial" w:eastAsia="Arial" w:hAnsi="Arial"/>
          <w:sz w:val="24"/>
          <w:szCs w:val="24"/>
        </w:rPr>
        <w:t xml:space="preserve">2) по результатам государственного контроля (надзора) за обращением медицинских изделий (при наличии сведений о фактах и обстоятельствах, создающих угрозу жизни и здоровью граждан и медицинских работников при применении и эксплуатации медицинских изделий);</w:t>
      </w:r>
    </w:p>
    <w:p>
      <w:pPr>
        <w:spacing w:after="120"/>
        <w:ind w:firstLine="567"/>
        <w:jc w:val="both"/>
      </w:pPr>
      <w:r>
        <w:rPr>
          <w:rFonts w:ascii="Arial" w:cs="Arial" w:eastAsia="Arial" w:hAnsi="Arial"/>
          <w:sz w:val="24"/>
          <w:szCs w:val="24"/>
        </w:rPr>
        <w:t xml:space="preserve">3) отсутствие в регистрационном досье актуальной информации об уполномоченном представителе производителя (за исключением отечественных производителей);</w:t>
      </w:r>
    </w:p>
    <w:p>
      <w:pPr>
        <w:spacing w:after="120"/>
        <w:ind w:firstLine="567"/>
        <w:jc w:val="both"/>
      </w:pPr>
      <w:r>
        <w:rPr>
          <w:rFonts w:ascii="Arial" w:cs="Arial" w:eastAsia="Arial" w:hAnsi="Arial"/>
          <w:sz w:val="24"/>
          <w:szCs w:val="24"/>
        </w:rPr>
        <w:t xml:space="preserve">4) на основании экспертного заключения по пострегистрационному клиническому мониторингу.</w:t>
      </w:r>
    </w:p>
    <w:p>
      <w:pPr>
        <w:spacing w:after="120"/>
        <w:ind w:firstLine="567"/>
        <w:jc w:val="both"/>
      </w:pPr>
      <w:r>
        <w:rPr>
          <w:rFonts w:ascii="Arial" w:cs="Arial" w:eastAsia="Arial" w:hAnsi="Arial"/>
          <w:sz w:val="24"/>
          <w:szCs w:val="24"/>
        </w:rPr>
        <w:t xml:space="preserve">65. Действие регистрационного удостоверения приостанавливается на основании решения уполномоченного органа с указанием причин и срока приостановления действия регистрационного удостоверения, с внесением соответствующей реестровой записи в Государственный реестр.</w:t>
      </w:r>
    </w:p>
    <w:p>
      <w:pPr>
        <w:spacing w:after="120"/>
        <w:ind w:firstLine="567"/>
        <w:jc w:val="both"/>
      </w:pPr>
      <w:r>
        <w:rPr>
          <w:rFonts w:ascii="Arial" w:cs="Arial" w:eastAsia="Arial" w:hAnsi="Arial"/>
          <w:sz w:val="24"/>
          <w:szCs w:val="24"/>
        </w:rPr>
        <w:t xml:space="preserve">66. Действие регистрационного удостоверения приостанавливается уполномоченным органом до 6 месяцев, при этом реализация и применение таких медицинских изделий не допускаются.</w:t>
      </w:r>
    </w:p>
    <w:p>
      <w:pPr>
        <w:spacing w:after="120"/>
        <w:ind w:firstLine="567"/>
        <w:jc w:val="both"/>
      </w:pPr>
      <w:r>
        <w:rPr>
          <w:rFonts w:ascii="Arial" w:cs="Arial" w:eastAsia="Arial" w:hAnsi="Arial"/>
          <w:sz w:val="24"/>
          <w:szCs w:val="24"/>
        </w:rPr>
        <w:t xml:space="preserve">67. Производитель или его уполномоченный представитель в течение установленного уполномоченным органом срока обязан устранить обстоятельства, повлекшие приостановление действия регистрационного удостоверения, и уведомить об этом уполномоченный орган с предоставлением подтверждающих документов.</w:t>
      </w:r>
    </w:p>
    <w:p>
      <w:pPr>
        <w:spacing w:after="120"/>
        <w:ind w:firstLine="567"/>
        <w:jc w:val="both"/>
      </w:pPr>
      <w:r>
        <w:rPr>
          <w:rFonts w:ascii="Arial" w:cs="Arial" w:eastAsia="Arial" w:hAnsi="Arial"/>
          <w:sz w:val="24"/>
          <w:szCs w:val="24"/>
        </w:rPr>
        <w:t xml:space="preserve">68. По результатам рассмотрения представленных заявителем документов уполномоченный орган в течение 30 рабочих дней принимает решение о возобновлении действия регистрационного удостоверения (с указанием даты возобновления регистрационного удостоверения) либо о продлении срока приостановления действия регистрационного удостоверения на 1 год.</w:t>
      </w:r>
    </w:p>
    <w:p>
      <w:pPr>
        <w:spacing w:after="120"/>
        <w:ind w:firstLine="567"/>
        <w:jc w:val="both"/>
      </w:pPr>
      <w:r>
        <w:rPr>
          <w:rFonts w:ascii="Arial" w:cs="Arial" w:eastAsia="Arial" w:hAnsi="Arial"/>
          <w:sz w:val="24"/>
          <w:szCs w:val="24"/>
        </w:rPr>
        <w:t xml:space="preserve">69. Уполномоченный орган в течение 5 рабочих дней со дня принятия решения о возобновлении действия регистрационного удостоверения вносит соответствующие сведения в Государственный реестр медицинских изделий и уведомляет заявителя о принятом решении.</w:t>
      </w:r>
    </w:p>
    <w:p>
      <w:pPr>
        <w:spacing w:after="120"/>
        <w:ind w:firstLine="567"/>
        <w:jc w:val="both"/>
      </w:pPr>
      <w:r>
        <w:rPr>
          <w:rFonts w:ascii="Arial" w:cs="Arial" w:eastAsia="Arial" w:hAnsi="Arial"/>
          <w:sz w:val="24"/>
          <w:szCs w:val="24"/>
        </w:rPr>
        <w:t xml:space="preserve">70. Решение о возобновлении действия удостоверения вступает в силу со дня его принятия.</w:t>
      </w:r>
    </w:p>
    <w:p>
      <w:pPr>
        <w:spacing w:after="120"/>
        <w:ind w:firstLine="567"/>
        <w:jc w:val="both"/>
      </w:pPr>
      <w:r>
        <w:rPr>
          <w:rFonts w:ascii="Arial" w:cs="Arial" w:eastAsia="Arial" w:hAnsi="Arial"/>
          <w:sz w:val="24"/>
          <w:szCs w:val="24"/>
        </w:rPr>
        <w:t xml:space="preserve">71. В случае неустранения заявителем в установленный срок обстоятельств, повлекших приостановление действия регистрационного удостоверения, уполномоченный орган в течение 3 рабочих дней со дня истечения указанного срока принимает решение об отмене действия (аннулировании) регистрационного удостоверения.</w:t>
      </w:r>
    </w:p>
    <w:p>
      <w:pPr>
        <w:spacing w:after="120"/>
        <w:ind w:firstLine="567"/>
        <w:jc w:val="both"/>
      </w:pPr>
      <w:r>
        <w:rPr>
          <w:rFonts w:ascii="Arial" w:cs="Arial" w:eastAsia="Arial" w:hAnsi="Arial"/>
          <w:sz w:val="24"/>
          <w:szCs w:val="24"/>
        </w:rPr>
        <w:t xml:space="preserve">72. Уполномоченный орган незамедлительно вносит соответствующие сведения в Государственный реестр медицинских изделий и уведомляет заявителя об отмене действия (аннулировании) регистрационного удостоверения.</w:t>
      </w:r>
    </w:p>
    <w:p>
      <w:pPr>
        <w:spacing w:after="120"/>
        <w:ind w:firstLine="567"/>
        <w:jc w:val="both"/>
      </w:pPr>
      <w:r>
        <w:rPr>
          <w:rFonts w:ascii="Arial" w:cs="Arial" w:eastAsia="Arial" w:hAnsi="Arial"/>
          <w:sz w:val="24"/>
          <w:szCs w:val="24"/>
        </w:rPr>
        <w:t xml:space="preserve">73. Основаниями для принятия уполномоченным органом решения об отмене действия (аннулировании) регистрационного удостоверения или об отмене регистрации медицинского изделия (моделей медицинского изделия, сведения о которых представлены в регистрационном удостоверении) являются:</w:t>
      </w:r>
    </w:p>
    <w:p>
      <w:pPr>
        <w:spacing w:after="120"/>
        <w:ind w:firstLine="567"/>
        <w:jc w:val="both"/>
      </w:pPr>
      <w:r>
        <w:rPr>
          <w:rFonts w:ascii="Arial" w:cs="Arial" w:eastAsia="Arial" w:hAnsi="Arial"/>
          <w:sz w:val="24"/>
          <w:szCs w:val="24"/>
        </w:rPr>
        <w:t xml:space="preserve">1) подача производителем заявления об отмене действия (аннулировании) регистрационного удостоверения по форме, утвержденной уполномоченным органом;</w:t>
      </w:r>
    </w:p>
    <w:p>
      <w:pPr>
        <w:spacing w:after="120"/>
        <w:ind w:firstLine="567"/>
        <w:jc w:val="both"/>
      </w:pPr>
      <w:r>
        <w:rPr>
          <w:rFonts w:ascii="Arial" w:cs="Arial" w:eastAsia="Arial" w:hAnsi="Arial"/>
          <w:sz w:val="24"/>
          <w:szCs w:val="24"/>
        </w:rPr>
        <w:t xml:space="preserve">2) выявление случаев представления заявителем недостоверных сведений, которые не могли быть установлены при регистрации медицинского изделия (в том числе при осуществлении уполномоченными органами государственного контроля (надзора) за обращением медицинских изделий);</w:t>
      </w:r>
    </w:p>
    <w:p>
      <w:pPr>
        <w:spacing w:after="120"/>
        <w:ind w:firstLine="567"/>
        <w:jc w:val="both"/>
      </w:pPr>
      <w:r>
        <w:rPr>
          <w:rFonts w:ascii="Arial" w:cs="Arial" w:eastAsia="Arial" w:hAnsi="Arial"/>
          <w:sz w:val="24"/>
          <w:szCs w:val="24"/>
        </w:rPr>
        <w:t xml:space="preserve">3) вступившее в законную силу решение суда об отмене действия (аннулировании) регистрационного удостоверения или об отмене регистрации медицинского изделия (моделей медицинского изделия, сведения о которых представлены в регистрационном удостоверении);</w:t>
      </w:r>
    </w:p>
    <w:p>
      <w:pPr>
        <w:spacing w:after="120"/>
        <w:ind w:firstLine="567"/>
        <w:jc w:val="both"/>
      </w:pPr>
      <w:r>
        <w:rPr>
          <w:rFonts w:ascii="Arial" w:cs="Arial" w:eastAsia="Arial" w:hAnsi="Arial"/>
          <w:sz w:val="24"/>
          <w:szCs w:val="24"/>
        </w:rPr>
        <w:t xml:space="preserve">4) представление уполномоченным органом по результатам государственного контроля (надзора) за обращением медицинских изделий сведений о фактах и обстоятельствах, создающих угрозу жизни и здоровью граждан и медицинских работников при применении и эксплуатации медицинского изделия;</w:t>
      </w:r>
    </w:p>
    <w:p>
      <w:pPr>
        <w:spacing w:after="120"/>
        <w:ind w:firstLine="567"/>
        <w:jc w:val="both"/>
      </w:pPr>
      <w:r>
        <w:rPr>
          <w:rFonts w:ascii="Arial" w:cs="Arial" w:eastAsia="Arial" w:hAnsi="Arial"/>
          <w:sz w:val="24"/>
          <w:szCs w:val="24"/>
        </w:rPr>
        <w:t xml:space="preserve">5) утрата медицинским изделием статуса медицинского изделия;</w:t>
      </w:r>
    </w:p>
    <w:p>
      <w:pPr>
        <w:spacing w:after="120"/>
        <w:ind w:firstLine="567"/>
        <w:jc w:val="both"/>
      </w:pPr>
      <w:r>
        <w:rPr>
          <w:rFonts w:ascii="Arial" w:cs="Arial" w:eastAsia="Arial" w:hAnsi="Arial"/>
          <w:sz w:val="24"/>
          <w:szCs w:val="24"/>
        </w:rPr>
        <w:t xml:space="preserve">6) на основании экспертного заключения по пострегистрационному клиническому мониторингу.</w:t>
      </w:r>
    </w:p>
    <w:p>
      <w:pPr>
        <w:spacing w:after="120"/>
        <w:ind w:firstLine="567"/>
        <w:jc w:val="both"/>
      </w:pPr>
      <w:r>
        <w:rPr>
          <w:rFonts w:ascii="Arial" w:cs="Arial" w:eastAsia="Arial" w:hAnsi="Arial"/>
          <w:sz w:val="24"/>
          <w:szCs w:val="24"/>
        </w:rPr>
        <w:t xml:space="preserve">74. Заявление об отмене действия (аннулировании) регистрационного удостоверения может быть подано уполномоченным представителем производителя при одновременном выполнении следующих условий:</w:t>
      </w:r>
    </w:p>
    <w:p>
      <w:pPr>
        <w:spacing w:after="120"/>
        <w:ind w:firstLine="567"/>
        <w:jc w:val="both"/>
      </w:pPr>
      <w:r>
        <w:rPr>
          <w:rFonts w:ascii="Arial" w:cs="Arial" w:eastAsia="Arial" w:hAnsi="Arial"/>
          <w:sz w:val="24"/>
          <w:szCs w:val="24"/>
        </w:rPr>
        <w:t xml:space="preserve">1) наличие в регистрационном досье актуального документа, подтверждающего полномочия уполномоченного представителя производителя или представление такого документа в уполномоченный орган вместе с заявлением об отмене действия (аннулировании) регистрационного удостоверения;</w:t>
      </w:r>
    </w:p>
    <w:p>
      <w:pPr>
        <w:spacing w:after="120"/>
        <w:ind w:firstLine="567"/>
        <w:jc w:val="both"/>
      </w:pPr>
      <w:r>
        <w:rPr>
          <w:rFonts w:ascii="Arial" w:cs="Arial" w:eastAsia="Arial" w:hAnsi="Arial"/>
          <w:sz w:val="24"/>
          <w:szCs w:val="24"/>
        </w:rPr>
        <w:t xml:space="preserve">2) представление в уполномоченный орган вместе с заявлением об отмене действия (аннулировании) регистрационного удостоверения письма производителя, подтверждающего его намерение отменить действие регистрационного удостоверения (аннулировать его).</w:t>
      </w:r>
    </w:p>
    <w:p>
      <w:pPr>
        <w:spacing w:after="120"/>
        <w:ind w:firstLine="567"/>
        <w:jc w:val="both"/>
      </w:pPr>
      <w:r>
        <w:rPr>
          <w:rFonts w:ascii="Arial" w:cs="Arial" w:eastAsia="Arial" w:hAnsi="Arial"/>
          <w:sz w:val="24"/>
          <w:szCs w:val="24"/>
        </w:rPr>
        <w:t xml:space="preserve">75. В случае если заявление об отмене действия (аннулировании) регистрационного удостоверения представлено с нарушением требований настоящего Порядка, документы представлены не в полном объеме или содержат недостоверные сведения, уполномоченный орган в течение 7 рабочих дней со дня поступления таких заявления и документов принимает решение об их возврате.</w:t>
      </w:r>
    </w:p>
    <w:p>
      <w:pPr>
        <w:spacing w:after="120"/>
        <w:ind w:firstLine="567"/>
        <w:jc w:val="both"/>
      </w:pPr>
      <w:r>
        <w:rPr>
          <w:rFonts w:ascii="Arial" w:cs="Arial" w:eastAsia="Arial" w:hAnsi="Arial"/>
          <w:sz w:val="24"/>
          <w:szCs w:val="24"/>
        </w:rPr>
        <w:t xml:space="preserve">76. Уполномоченный орган в течение 7 рабочих дней со дня наступления одного из оснований, указанных в пункте 73 настоящего Порядка, принимает решение об отмене действия (аннулировании) регистрационного удостоверения или об отмене регистрации медицинского изделия (модели медицинского изделия, сведения о которых представлены в регистрационном удостоверении).</w:t>
      </w:r>
    </w:p>
    <w:p>
      <w:pPr>
        <w:spacing w:after="120"/>
        <w:ind w:firstLine="567"/>
        <w:jc w:val="both"/>
      </w:pPr>
      <w:r>
        <w:rPr>
          <w:rFonts w:ascii="Arial" w:cs="Arial" w:eastAsia="Arial" w:hAnsi="Arial"/>
          <w:sz w:val="24"/>
          <w:szCs w:val="24"/>
        </w:rPr>
        <w:t xml:space="preserve">77. Уполномоченный орган в течение 5 рабочих дней со дня принятия решения об отмене действия (аннулировании) регистрационного удостоверения или об отмене регистрации медицинского изделия (модели медицинского изделия, сведения о которых представлены в регистрационном удостоверении):</w:t>
      </w:r>
    </w:p>
    <w:p>
      <w:pPr>
        <w:spacing w:after="120"/>
        <w:ind w:firstLine="567"/>
        <w:jc w:val="both"/>
      </w:pPr>
      <w:r>
        <w:rPr>
          <w:rFonts w:ascii="Arial" w:cs="Arial" w:eastAsia="Arial" w:hAnsi="Arial"/>
          <w:sz w:val="24"/>
          <w:szCs w:val="24"/>
        </w:rPr>
        <w:t xml:space="preserve">1) размещает в Государственном реестре медицинских изделий соответствующую информацию;</w:t>
      </w:r>
    </w:p>
    <w:p>
      <w:pPr>
        <w:spacing w:after="120"/>
        <w:ind w:firstLine="567"/>
        <w:jc w:val="both"/>
      </w:pPr>
      <w:r>
        <w:rPr>
          <w:rFonts w:ascii="Arial" w:cs="Arial" w:eastAsia="Arial" w:hAnsi="Arial"/>
          <w:sz w:val="24"/>
          <w:szCs w:val="24"/>
        </w:rPr>
        <w:t xml:space="preserve">2) уведомляет заявителя об отмене действия (аннулировании) регистрационного удостоверения;</w:t>
      </w:r>
    </w:p>
    <w:p>
      <w:pPr>
        <w:spacing w:after="120"/>
        <w:ind w:firstLine="567"/>
        <w:jc w:val="both"/>
      </w:pPr>
      <w:r>
        <w:rPr>
          <w:rFonts w:ascii="Arial" w:cs="Arial" w:eastAsia="Arial" w:hAnsi="Arial"/>
          <w:sz w:val="24"/>
          <w:szCs w:val="24"/>
        </w:rPr>
        <w:t xml:space="preserve">3) уведомляет заявителя об отмене регистрации медицинского изделия (модели медицинского изделия, сведения о которых представлены в регистрационном удостоверении) и о необходимости внесения изменений в регистрационное досье в части исключения данных медицинских изделий (модели медицинского изделия).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i/>
          <w:iCs/>
          <w:sz w:val="24"/>
          <w:szCs w:val="24"/>
        </w:rPr>
        <w:t xml:space="preserve">к Порядку государственной регистрации, проведения экспертизы безопасности, качества и эффективности медицинских изделий, ведения Государственного реестра, номенклатуры медицинских изделий, внесения изменений в регистрационное досье медицинских изделий, приостановления или отмены действия (аннулирования) регистрационного удостоверения</w:t>
      </w:r>
    </w:p>
    <w:p>
      <w:pPr>
        <w:spacing w:after="240" w:before="200"/>
        <w:jc w:val="center"/>
      </w:pPr>
      <w:r>
        <w:rPr>
          <w:rFonts w:ascii="Arial" w:cs="Arial" w:eastAsia="Arial" w:hAnsi="Arial"/>
          <w:b/>
          <w:bCs/>
          <w:sz w:val="32"/>
          <w:szCs w:val="32"/>
        </w:rPr>
        <w:t xml:space="preserve">ПЕРЕЧЕНЬ
 документов, необходимых для регистрации медицинского изделия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
        <w:gridCol w:w="5496"/>
        <w:gridCol w:w="470"/>
        <w:gridCol w:w="470"/>
        <w:gridCol w:w="470"/>
        <w:gridCol w:w="470"/>
        <w:gridCol w:w="973"/>
        <w:gridCol w:w="1683"/>
      </w:tblGrid>
      <w:tr>
        <w:tc>
          <w:tcPr>
            <w:tcW w:type="dxa" w:w="1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4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документа</w:t>
            </w:r>
          </w:p>
        </w:tc>
        <w:tc>
          <w:tcPr>
            <w:tcW w:type="dxa" w:w="188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Медицинское изделие класса</w:t>
            </w:r>
          </w:p>
        </w:tc>
        <w:tc>
          <w:tcPr>
            <w:tcW w:type="dxa" w:w="9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Медицинское изделие для диагностики in vitro (независимо от класса потенциального риска)</w:t>
            </w:r>
          </w:p>
        </w:tc>
        <w:tc>
          <w:tcPr>
            <w:tcW w:type="dxa" w:w="16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2а</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2б</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Доверенность от производителя на право представления интересов при регистрации и быть уполномоченным представителем</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производителя с уполномоченным представителем производителя</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отсутствии доверенности быть уполномоченным представителем производителя</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Декларация об ответственности за достоверность предоставляемых информации и данных в документах от заявителя</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на систему менеджмента качества производителя медицинских изделий (ИСО 13485 либо соответствующий региональный или национальный стандарт)</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(Если применимо)</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исключением отечественных производителей</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Декларация производителя о соответствии требованиям безопасности и эффективности медицинских изделий или эквивалентный документ</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регистрацию медицинского изделия в стране-производителе</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ссылкой на действующие источники сведений о регистрации</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регистрацию медицинского изделия в других странах</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ссылкой на действующие источники сведений о регистрации</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маркировке и упаковке (полноцветные макеты упаковок и этикеток, текст маркировки)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 несчастных случаях и отзывах (информация не предоставляется для вновь разработанных и спроектированных медицинских изделий):</w:t>
            </w:r>
            <w:r>
              <w:rPr>
                <w:rFonts w:ascii="Arial" w:cs="Arial" w:eastAsia="Arial" w:hAnsi="Arial"/>
                <w:sz w:val="24"/>
                <w:szCs w:val="24"/>
              </w:rPr>
              <w:t xml:space="preserve">- список нежелательных событий или несчастных случаев, связанных с использованием изделия, и указание периода времени, на протяжении которого происходили указанные случаи;</w:t>
            </w:r>
            <w:r>
              <w:rPr>
                <w:rFonts w:ascii="Arial" w:cs="Arial" w:eastAsia="Arial" w:hAnsi="Arial"/>
                <w:sz w:val="24"/>
                <w:szCs w:val="24"/>
              </w:rPr>
              <w:t xml:space="preserve">- если нежелательных событий слишком много, необходимо предоставить краткие обзоры по каждому из типов событий и указать общее количество событий каждого типа, о которых поступали отчеты;</w:t>
            </w:r>
            <w:r>
              <w:rPr>
                <w:rFonts w:ascii="Arial" w:cs="Arial" w:eastAsia="Arial" w:hAnsi="Arial"/>
                <w:sz w:val="24"/>
                <w:szCs w:val="24"/>
              </w:rPr>
              <w:t xml:space="preserve">- список отзывов с рынка медицинских изделий и (или) пояснительных уведомлений, и описание подхода к рассмотрению этих проблем и их решению производителями в каждом из таких случаев;</w:t>
            </w:r>
            <w:r>
              <w:rPr>
                <w:rFonts w:ascii="Arial" w:cs="Arial" w:eastAsia="Arial" w:hAnsi="Arial"/>
                <w:sz w:val="24"/>
                <w:szCs w:val="24"/>
              </w:rPr>
              <w:t xml:space="preserve">описание анализа и (или) корректирующих действий, предпринятых в ответ на указанные случаи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(Кроме 1 класса)</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стандартов, которым соответствует медицинское изделие (с указанием сведений о стандартах)</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соответствии медицинского изделия общим требованиям безопасности и эффективности медицинских изделий, требованиям к их маркировке и эксплуатационной документации на них</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характеристики медицинского изделия</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технических испытаний, проведенных в целях доказательства соответствия общим требованиям</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(За исключением реагентов, наборов реагентов)</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исследований (испытаний) по оценке биологического действия медицинского изделия, проведенных в целях доказательства соответствия общим требованиям</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применимо</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клиническом доказательстве эффективности и безопасности медицинского изделия</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(Кроме 1 класса)</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анализе рисков</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(Кроме 1 класса)</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о лекарственных средствах, содержащихся в составе медицинского изделия (состав лекарственного средства, количество, данные о совместимости лекарственного средства с медицинским изделием, о регистрации лекарственного средства в стране-производителе)</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применимо</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о биологической безопасности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применимо</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о процедуре стерилизации, включая информацию о валидации процесса, результаты тестирования на содержание микроорганизмов (степень биологической нагрузки), пирогенности, стерильности (при необходимости) с указанием методов проведения испытаний и данных о валидации упаковки биологической нагрузки), пирогенности, стерильности (при необходимости) с указанием методов проведения испытаний и данных о валидации упаковки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(Кроме 1 класса)</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применимо</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о специальном программном обеспечении, сведения производителя о валидации программного обеспечения</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применимо</w:t>
            </w:r>
            <w:r>
              <w:rPr>
                <w:rFonts w:ascii="Arial" w:cs="Arial" w:eastAsia="Arial" w:hAnsi="Arial"/>
                <w:sz w:val="24"/>
                <w:szCs w:val="24"/>
              </w:rPr>
              <w:t xml:space="preserve">(*)</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исследованиях стабильности - результатов и выводов испытаний для изделий, имеющих срок хранения</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применимо</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Эксплуатационный документ или инструкция по применению медицинского изделия</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по сервисному обслуживанию в случае отсутствия данных в эксплуатационной документации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применимо</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сбора и анализа данных по безопасности и эффективности медицинских изделий на постпродажном этапе</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 Документы, необходимые для регистрации медицинского изделия, из настоящего перечня заверяются производителем.</w:t>
      </w:r>
    </w:p>
    <w:p>
      <w:pPr>
        <w:spacing w:after="120"/>
        <w:ind w:firstLine="567"/>
        <w:jc w:val="both"/>
      </w:pPr>
      <w:r>
        <w:rPr>
          <w:rFonts w:ascii="Arial" w:cs="Arial" w:eastAsia="Arial" w:hAnsi="Arial"/>
          <w:sz w:val="24"/>
          <w:szCs w:val="24"/>
        </w:rPr>
        <w:t xml:space="preserve">(**) Документы, необходимые для регистрации медицинского изделия, из настоящего перечня предоставляются в отсканированном формате *.pdf с текстовым слоем с возможностью выделения и копирования текста, а также осуществления поиска.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i/>
          <w:iCs/>
          <w:sz w:val="24"/>
          <w:szCs w:val="24"/>
        </w:rPr>
        <w:t xml:space="preserve">к Порядку государственной регистрации, проведения экспертизы безопасности, качества и эффективности медицинских изделий, ведения Государственного реестра, номенклатуры медицинских изделий, внесения изменений в регистрационное досье медицинских изделий, приостановления или отмены действия (аннулирования) регистрационного удостоверения</w:t>
      </w:r>
    </w:p>
    <w:p>
      <w:pPr>
        <w:spacing w:after="240" w:before="200"/>
        <w:jc w:val="center"/>
      </w:pPr>
      <w:r>
        <w:rPr>
          <w:rFonts w:ascii="Arial" w:cs="Arial" w:eastAsia="Arial" w:hAnsi="Arial"/>
          <w:b/>
          <w:bCs/>
          <w:sz w:val="32"/>
          <w:szCs w:val="32"/>
        </w:rPr>
        <w:t xml:space="preserve">ПЕРЕЧЕНЬ
 изменений, вносимых в регистрационное досье медицинского изделия в период действия регистрационного удостоверения и не требующих новой регистрации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1"/>
        <w:gridCol w:w="3687"/>
        <w:gridCol w:w="3420"/>
      </w:tblGrid>
      <w:tr>
        <w:tc>
          <w:tcPr>
            <w:tcW w:type="dxa" w:w="30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изменяемых сведений</w:t>
            </w:r>
          </w:p>
        </w:tc>
        <w:tc>
          <w:tcPr>
            <w:tcW w:type="dxa" w:w="36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w:t>
            </w:r>
          </w:p>
        </w:tc>
        <w:tc>
          <w:tcPr>
            <w:tcW w:type="dxa" w:w="34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и документы, необходимые для внесения изменений</w:t>
            </w:r>
          </w:p>
        </w:tc>
      </w:tr>
      <w:tr>
        <w:tc>
          <w:tcPr>
            <w:tcW w:type="dxa" w:w="307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Сведения об уполномоченном представителе производителя, включая сведения о реорганизации юридического лица, о изменении его наименования или фамилии, имени, адреса места жительства индивидуального предпринимателя</w:t>
            </w:r>
          </w:p>
        </w:tc>
        <w:tc>
          <w:tcPr>
            <w:tcW w:type="dxa" w:w="36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регистрационное удостоверение не влияет на эффективность и безопасность медицинского изделия в соответствии с Общими требованиями безопасности и эффективности медицинских изделий, требованиями к их маркировке и эксплуатационной документации на них</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внесении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полномочия уполномоченного представителя производителя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подтверждающие изменения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Регистрационное удостоверение, выданное в Кыргызской Республике при наличии бумажного варианта</w:t>
            </w:r>
          </w:p>
        </w:tc>
      </w:tr>
      <w:tr>
        <w:tc>
          <w:tcPr>
            <w:tcW w:type="dxa" w:w="307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Наименование медицинского изделия</w:t>
            </w:r>
          </w:p>
        </w:tc>
        <w:tc>
          <w:tcPr>
            <w:tcW w:type="dxa" w:w="36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Мотивированное обоснование необходимости изменения наименования медицинского изделия, не влияющего на его функциональные и технические характеристики</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внесении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Документ, удостоверяющий регистрацию медицинского изделия в стране-производителе (декларация соответствия регистрационное удостоверение, сертификат свободной продажи, сертификат на экспорт и др.) с внесенными изменениями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Регистрационное удостоверение, выданное в Кыргызской Республике при наличии бумажного варианта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производителя, содержащее мотивированное обоснование необходимости изменения наименования медицинского изделия, не влияющего на функциональные и технические характеристики медицинского изделия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маркировке и упаковке (полноцветные макеты упаковок и этикеток, текст маркировки) старой и новой редакции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характеристики медицинского изделия, приведенные в соответствие с новым наименованием медицинского изделия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Эксплуатационная документация производителя на медицинское изделие, в том числе инструкция по применению (руководство по эксплуатации) медицинского изделия, приведенная в соответствие с новым наименованием медицинского изделия</w:t>
            </w:r>
          </w:p>
        </w:tc>
      </w:tr>
      <w:tr>
        <w:tc>
          <w:tcPr>
            <w:tcW w:type="dxa" w:w="307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Состав принадлежностей, комплектующих и (или) расходных материалов</w:t>
            </w:r>
          </w:p>
        </w:tc>
        <w:tc>
          <w:tcPr>
            <w:tcW w:type="dxa" w:w="36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влияния на функциональные характеристики медицинского изделий</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внесении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Регистрационное удостоверение, выданное в Кыргызской Республике при наличии бумажного варианта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производителя, содержащее мотивированное обоснование необходимости изменения в составе комплектующих, с указанием нового перечня комплектующих, подтверждающего отсутствие влияния на функциональные характеристики медицинского изделия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Эксплуатационная документация производителя на медицинское изделие, в том числе инструкция по применению (руководство по эксплуатации) медицинского изделия, приведенная в соответствие с внесенными изменениями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Обновленная спецификация с указанием перечня комплектующих и расходных материалов</w:t>
            </w:r>
          </w:p>
        </w:tc>
      </w:tr>
      <w:tr>
        <w:tc>
          <w:tcPr>
            <w:tcW w:type="dxa" w:w="307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Показания к применению, области применения, противопоказания, побочные эффекты</w:t>
            </w:r>
          </w:p>
        </w:tc>
        <w:tc>
          <w:tcPr>
            <w:tcW w:type="dxa" w:w="36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Безопасность применения медицинского изделия должна сохраняться и подтверждаться данными исследований, клинической безопасности и качества</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внесении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Регистрационное удостоверение, выданное в Кыргызской Республике при наличии бумажного варианта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производителя, содержащее мотивированное обоснование необходимости изменения показаний к применению медицинского изделия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Эксплуатационная документация производителя на медицинское изделие, в том числе инструкция по применению (руководство по эксплуатации) медицинского изделия, приведенная в соответствие с внесенными изменениями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маркировке и упаковке (полноцветные макеты упаковок и этикеток, текст маркировки) старой и новой редакции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клинических (медицинских) испытаний, отражающие внесенные изменения</w:t>
            </w:r>
          </w:p>
        </w:tc>
      </w:tr>
      <w:tr>
        <w:tc>
          <w:tcPr>
            <w:tcW w:type="dxa" w:w="307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Сведения о производителе медицинского изделия</w:t>
            </w:r>
          </w:p>
        </w:tc>
        <w:tc>
          <w:tcPr>
            <w:tcW w:type="dxa" w:w="36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Отсутствуют изменения в производственном процессе или спецификациях, включая методы испытания</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внесении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Документ, удостоверяющий регистрацию медицинского изделия в стране-производителе (регистрационное удостоверение, сертификат свободной продажи, сертификат на экспорт и др.) с внесенными изменениями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внесение изменений (с указанием даты внесения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Документ, подтверждающий соответствие условий производства национальным и/или международным стандартам (GMP, ISO EN)</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Документ, подтверждающий соответствие медицинского изделия национальным или международным стандартам, класс потенциального риска (декларация соответствия; сертификат соответствия)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Регистрационное удостоверение, выданное в Кыргызской Республике при наличии бумажного варианта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производителя, удостоверяющее, что производственный процесс и контроль за качеством и безопасностью готового продукта остаются без изменений, с указанием даты внесения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Эксплуатационная документация производителя на медицинское изделие, в том числе инструкция по применению (руководство по эксплуатации) медицинского изделия, приведенная в соответствие с внесенными изменениями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маркировке и упаковке (полноцветные макеты упаковок и этикеток, текст маркировки) старой и новой редакции</w:t>
            </w:r>
          </w:p>
        </w:tc>
      </w:tr>
      <w:tr>
        <w:tc>
          <w:tcPr>
            <w:tcW w:type="dxa" w:w="307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Спецификация производителя или технические условия (при наличии), которым соответствует медицинское изделие; эксплуатационная документация медицинского изделия или данные о маркировке и упаковке</w:t>
            </w:r>
          </w:p>
        </w:tc>
        <w:tc>
          <w:tcPr>
            <w:tcW w:type="dxa" w:w="36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Отсутствуют изменения в производственном процессе или спецификациях, включая методы испытания</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внесении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Регистрационное удостоверение, выданное в Кыргызской Республике при наличии бумажного варианта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Письмо-обоснование производителя о вносимых изменениях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по стабильности (для медицинского изделия) не менее чем на 3 сериях (отчет, обосновывающий срок годности медицинского изделия) (при необходимости)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Эксплуатационная документация производителя на медицинское изделие, в том числе инструкция по применению (руководство по эксплуатации) медицинского изделия, приведенная в соответствие с внесенными изменениями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маркировке и упаковке (полноцветные макеты упаковок и этикеток, текст маркировки) старой и новой редакции (при необходимости)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Нормативная документация с внесенными изменениями, регламентирующая качество конечного продукта, сертификат анализа и методики контроля конечного продукта (при необходимости)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технических испытаний или испытаний (исследований) с целью оценки биологического действия с учетом изменений, внесенных в нормативную документацию (при необходимости)</w:t>
            </w:r>
          </w:p>
        </w:tc>
      </w:tr>
    </w:tbl>
    <w:p>
      <w:pPr>
        <w:spacing w:after="120" w:before="120"/>
        <w:ind w:firstLine="567"/>
        <w:jc w:val="both"/>
      </w:pPr>
      <w:r>
        <w:rPr>
          <w:rFonts w:ascii="Arial" w:cs="Arial" w:eastAsia="Arial" w:hAnsi="Arial"/>
          <w:sz w:val="24"/>
          <w:szCs w:val="24"/>
        </w:rPr>
        <w:t xml:space="preserve">(*) Документы представляются с обязательным аутентичным переводом на русский (официальный) или государственный (кыргызский) язык.</w:t>
      </w:r>
    </w:p>
    <w:p>
      <w:pPr>
        <w:spacing w:after="120"/>
        <w:jc w:val="both"/>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_rotnrt_2s1phmc4tov">
      <w:r>
        <w:rPr>
          <w:rFonts w:ascii="Arial" w:cs="Arial" w:eastAsia="Arial" w:hAnsi="Arial"/>
          <w:color w:val="132D3F"/>
          <w:sz w:val="16"/>
          <w:szCs w:val="16"/>
          <w:u w:val="single"/>
        </w:rPr>
        <w:t xml:space="preserve">dalil.kg/document/230014056</w:t>
      </w:r>
    </w:hyperlink>
  </w:p>
  <w:p>
    <w:pPr>
      <w:spacing w:after="0" w:before="40"/>
      <w:jc w:val="center"/>
    </w:pPr>
    <w:hyperlink w:history="1" r:id="rId6diuv1vf3vonhcukbur8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khypc8exogzc4jkdmqs" Type="http://schemas.openxmlformats.org/officeDocument/2006/relationships/hyperlink" Target="https://dalil.kg/document/230013988" TargetMode="External"/><Relationship Id="rIdnmrfsxvrszn44sbk6mnmp" Type="http://schemas.openxmlformats.org/officeDocument/2006/relationships/hyperlink" Target="https://dalil.kg/document/230000344#st_16" TargetMode="External"/><Relationship Id="rId5ei4zczssd-3gdfili_y0" Type="http://schemas.openxmlformats.org/officeDocument/2006/relationships/hyperlink" Target="https://dalil.kg/document/230014056#pr1" TargetMode="External"/><Relationship Id="rId_ws6bdwc414pj25oxmlm5" Type="http://schemas.openxmlformats.org/officeDocument/2006/relationships/hyperlink" Target="https://dalil.kg/document/230014056#pr1" TargetMode="External"/><Relationship Id="rIdsj8twzxgqzlatlkwjls3t" Type="http://schemas.openxmlformats.org/officeDocument/2006/relationships/hyperlink" Target="https://dalil.kg/document/230014056#pr1" TargetMode="External"/><Relationship Id="rIdnm_3la_0rj4d9dgrvpsc3" Type="http://schemas.openxmlformats.org/officeDocument/2006/relationships/hyperlink" Target="https://dalil.kg/document/230014056#pr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_rotnrt_2s1phmc4tov" Type="http://schemas.openxmlformats.org/officeDocument/2006/relationships/hyperlink" Target="https://dalil.kg/document/230014056" TargetMode="External"/><Relationship Id="rId6diuv1vf3vonhcukbur8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2026-09-27T10:26:49.345Z</dcterms:created>
  <dcterms:modified xsi:type="dcterms:W3CDTF">2026-09-27T10:26:49.345Z</dcterms:modified>
</cp:coreProperties>
</file>

<file path=docProps/custom.xml><?xml version="1.0" encoding="utf-8"?>
<Properties xmlns="http://schemas.openxmlformats.org/officeDocument/2006/custom-properties" xmlns:vt="http://schemas.openxmlformats.org/officeDocument/2006/docPropsVTypes"/>
</file>