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августа 2024 года № 527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и Кабинета Министров Кыргызской Республики в сфере обучения государственных и муниципальных служащих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bfw1npq0tquaqdod7kij">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усовершенствования системы обучения государственных и муниципальных служащих, в соответствии со статьями </w:t>
      </w:r>
      <w:hyperlink w:history="1" r:id="rIdqd2ppdezxv-bptof3th1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qi_hxbfarseqssdk3nh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gmviqnjeec9lmsc-knv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 следующее изменение:</w:t>
      </w:r>
    </w:p>
    <w:p>
      <w:pPr>
        <w:spacing w:after="120"/>
        <w:ind w:firstLine="567"/>
        <w:jc w:val="both"/>
      </w:pPr>
      <w:r>
        <w:rPr>
          <w:rFonts w:ascii="Arial" w:cs="Arial" w:eastAsia="Arial" w:hAnsi="Arial"/>
          <w:sz w:val="24"/>
          <w:szCs w:val="24"/>
        </w:rPr>
        <w:t xml:space="preserve">- </w:t>
      </w:r>
      <w:hyperlink w:history="1" r:id="rIden1d98mh3thpuq2tvley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dymwy1t-q-ggxwobtmzu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ark0k7tpjawsuhzxaubt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9osnx6tqtwqlgaskeco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567"/>
        <w:jc w:val="both"/>
      </w:pPr>
      <w:r>
        <w:rPr>
          <w:rFonts w:ascii="Arial" w:cs="Arial" w:eastAsia="Arial" w:hAnsi="Arial"/>
          <w:sz w:val="24"/>
          <w:szCs w:val="24"/>
        </w:rPr>
        <w:t xml:space="preserve">4. Внести в </w:t>
      </w:r>
      <w:hyperlink w:history="1" r:id="rIdmdk0tetz4q3vtioxmvc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обучения государственных гражданских служащих и муниципальных служащих Кыргызской Республики" от 18 апреля 2023 года № 209 следующие изменения:</w:t>
      </w:r>
    </w:p>
    <w:p>
      <w:pPr>
        <w:spacing w:after="120"/>
        <w:ind w:firstLine="567"/>
        <w:jc w:val="both"/>
      </w:pPr>
      <w:r>
        <w:rPr>
          <w:rFonts w:ascii="Arial" w:cs="Arial" w:eastAsia="Arial" w:hAnsi="Arial"/>
          <w:sz w:val="24"/>
          <w:szCs w:val="24"/>
        </w:rPr>
        <w:t xml:space="preserve">в </w:t>
      </w:r>
      <w:hyperlink w:history="1" r:id="rIdlrcohde6vatnu3_awa4u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обучения государственных гражданских служащих и муниципальных служащих Кыргызской Республики, утвержденном вышеуказанным </w:t>
      </w:r>
      <w:hyperlink w:history="1" r:id="rIddoosfivs40vrp1ekk8m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3 дополнить абзацем следующего содержания:</w:t>
      </w:r>
    </w:p>
    <w:p>
      <w:pPr>
        <w:spacing w:after="120"/>
        <w:ind w:firstLine="567"/>
        <w:jc w:val="both"/>
      </w:pPr>
      <w:r>
        <w:rPr>
          <w:rFonts w:ascii="Arial" w:cs="Arial" w:eastAsia="Arial" w:hAnsi="Arial"/>
          <w:sz w:val="24"/>
          <w:szCs w:val="24"/>
        </w:rPr>
        <w:t xml:space="preserve">"Накопительная система обучения представляет собой суммирование результатов усвоения специалистом учебных программ в соответствии с программами обучения, реализуемыми в государственных образовательных учреждениях дополнительного профессионального образования, и подтверждается выдачей документов установленного образца.";</w:t>
      </w:r>
    </w:p>
    <w:p>
      <w:pPr>
        <w:spacing w:after="120"/>
        <w:ind w:firstLine="567"/>
        <w:jc w:val="both"/>
      </w:pPr>
      <w:r>
        <w:rPr>
          <w:rFonts w:ascii="Arial" w:cs="Arial" w:eastAsia="Arial" w:hAnsi="Arial"/>
          <w:sz w:val="24"/>
          <w:szCs w:val="24"/>
        </w:rPr>
        <w:t xml:space="preserve">- дополнить </w:t>
      </w:r>
      <w:hyperlink w:history="1" r:id="rIdoigmggvpiu60uum2c7zgr">
        <w:r>
          <w:rPr>
            <w:rFonts w:ascii="Arial" w:cs="Arial" w:eastAsia="Arial" w:hAnsi="Arial"/>
            <w:color w:val="1D4ED8"/>
            <w:sz w:val="24"/>
            <w:szCs w:val="24"/>
            <w:u w:val="single"/>
          </w:rPr>
          <w:t xml:space="preserve">главой 5</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"5. Накопительная система обучения государственных и муниципальных служащих</w:t>
      </w:r>
    </w:p>
    <w:p>
      <w:pPr>
        <w:spacing w:after="120"/>
        <w:ind w:firstLine="567"/>
        <w:jc w:val="both"/>
      </w:pPr>
      <w:r>
        <w:rPr>
          <w:rFonts w:ascii="Arial" w:cs="Arial" w:eastAsia="Arial" w:hAnsi="Arial"/>
          <w:sz w:val="24"/>
          <w:szCs w:val="24"/>
        </w:rPr>
        <w:t xml:space="preserve">44. Задачами накопительной системы обучения являются:</w:t>
      </w:r>
    </w:p>
    <w:p>
      <w:pPr>
        <w:spacing w:after="120"/>
        <w:ind w:firstLine="567"/>
        <w:jc w:val="both"/>
      </w:pPr>
      <w:r>
        <w:rPr>
          <w:rFonts w:ascii="Arial" w:cs="Arial" w:eastAsia="Arial" w:hAnsi="Arial"/>
          <w:sz w:val="24"/>
          <w:szCs w:val="24"/>
        </w:rPr>
        <w:t xml:space="preserve">1) формирование соответствия профессиональных компетенций служащих;</w:t>
      </w:r>
    </w:p>
    <w:p>
      <w:pPr>
        <w:spacing w:after="120"/>
        <w:ind w:firstLine="567"/>
        <w:jc w:val="both"/>
      </w:pPr>
      <w:r>
        <w:rPr>
          <w:rFonts w:ascii="Arial" w:cs="Arial" w:eastAsia="Arial" w:hAnsi="Arial"/>
          <w:sz w:val="24"/>
          <w:szCs w:val="24"/>
        </w:rPr>
        <w:t xml:space="preserve">2) удовлетворение потребности личности в непрерывном образовании в течение всей жизни;</w:t>
      </w:r>
    </w:p>
    <w:p>
      <w:pPr>
        <w:spacing w:after="120"/>
        <w:ind w:firstLine="567"/>
        <w:jc w:val="both"/>
      </w:pPr>
      <w:r>
        <w:rPr>
          <w:rFonts w:ascii="Arial" w:cs="Arial" w:eastAsia="Arial" w:hAnsi="Arial"/>
          <w:sz w:val="24"/>
          <w:szCs w:val="24"/>
        </w:rPr>
        <w:t xml:space="preserve">3) повышение мотивации и личной ответственности служащих за своевременное совершенствование своих знаний и практических навыков для более качественного выполнения профессиональных функций и должностных обязанностей;</w:t>
      </w:r>
    </w:p>
    <w:p>
      <w:pPr>
        <w:spacing w:after="120"/>
        <w:ind w:firstLine="567"/>
        <w:jc w:val="both"/>
      </w:pPr>
      <w:r>
        <w:rPr>
          <w:rFonts w:ascii="Arial" w:cs="Arial" w:eastAsia="Arial" w:hAnsi="Arial"/>
          <w:sz w:val="24"/>
          <w:szCs w:val="24"/>
        </w:rPr>
        <w:t xml:space="preserve">4) профессиональное развитие и повышение квалификации, подготовка к выполнению новых задач профессиональной деятельности.</w:t>
      </w:r>
    </w:p>
    <w:p>
      <w:pPr>
        <w:spacing w:after="120"/>
        <w:ind w:firstLine="567"/>
        <w:jc w:val="both"/>
      </w:pPr>
      <w:r>
        <w:rPr>
          <w:rFonts w:ascii="Arial" w:cs="Arial" w:eastAsia="Arial" w:hAnsi="Arial"/>
          <w:sz w:val="24"/>
          <w:szCs w:val="24"/>
        </w:rPr>
        <w:t xml:space="preserve">45. Накопительная система обучения отвечает образовательным потребностям служащих государственных органов и органов местного самоуправления в сфере их профессиональной деятельности.</w:t>
      </w:r>
    </w:p>
    <w:p>
      <w:pPr>
        <w:spacing w:after="120"/>
        <w:ind w:firstLine="567"/>
        <w:jc w:val="both"/>
      </w:pPr>
      <w:r>
        <w:rPr>
          <w:rFonts w:ascii="Arial" w:cs="Arial" w:eastAsia="Arial" w:hAnsi="Arial"/>
          <w:sz w:val="24"/>
          <w:szCs w:val="24"/>
        </w:rPr>
        <w:t xml:space="preserve">46. Обучение государственных и муниципальных служащих по накопительной системе проводится государственным образовательным учреждением согласно имеющейся лицензии на образовательную деятельность, позволяющей вести обучение в сфере переподготовки и повышения квалификации государственных и муниципальных служащих.</w:t>
      </w:r>
    </w:p>
    <w:p>
      <w:pPr>
        <w:spacing w:after="120"/>
        <w:ind w:firstLine="567"/>
        <w:jc w:val="both"/>
      </w:pPr>
      <w:r>
        <w:rPr>
          <w:rFonts w:ascii="Arial" w:cs="Arial" w:eastAsia="Arial" w:hAnsi="Arial"/>
          <w:sz w:val="24"/>
          <w:szCs w:val="24"/>
        </w:rPr>
        <w:t xml:space="preserve">47. Для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установлен следующий накопительный объем обучения:</w:t>
      </w:r>
    </w:p>
    <w:p>
      <w:pPr>
        <w:spacing w:after="120"/>
        <w:ind w:firstLine="567"/>
        <w:jc w:val="both"/>
      </w:pPr>
      <w:r>
        <w:rPr>
          <w:rFonts w:ascii="Arial" w:cs="Arial" w:eastAsia="Arial" w:hAnsi="Arial"/>
          <w:sz w:val="24"/>
          <w:szCs w:val="24"/>
        </w:rPr>
        <w:t xml:space="preserve">- для впервые назначенных государственных и муниципальных служащих не менее 36 часов в течение первого года после назначения на должность;</w:t>
      </w:r>
    </w:p>
    <w:p>
      <w:pPr>
        <w:spacing w:after="120"/>
        <w:ind w:firstLine="567"/>
        <w:jc w:val="both"/>
      </w:pPr>
      <w:r>
        <w:rPr>
          <w:rFonts w:ascii="Arial" w:cs="Arial" w:eastAsia="Arial" w:hAnsi="Arial"/>
          <w:sz w:val="24"/>
          <w:szCs w:val="24"/>
        </w:rPr>
        <w:t xml:space="preserve">- для лиц, состоящих в муниципальном и региональном резервах кадров, в объеме не менее 72 часов в год;</w:t>
      </w:r>
    </w:p>
    <w:p>
      <w:pPr>
        <w:spacing w:after="120"/>
        <w:ind w:firstLine="567"/>
        <w:jc w:val="both"/>
      </w:pPr>
      <w:r>
        <w:rPr>
          <w:rFonts w:ascii="Arial" w:cs="Arial" w:eastAsia="Arial" w:hAnsi="Arial"/>
          <w:sz w:val="24"/>
          <w:szCs w:val="24"/>
        </w:rPr>
        <w:t xml:space="preserve">- для действующих государственных и муниципальных служащих в целях подтверждения соответствия занимаемой должности от 36 до 72 часов в течение одного года.</w:t>
      </w:r>
    </w:p>
    <w:p>
      <w:pPr>
        <w:spacing w:after="120"/>
        <w:ind w:firstLine="567"/>
        <w:jc w:val="both"/>
      </w:pPr>
      <w:r>
        <w:rPr>
          <w:rFonts w:ascii="Arial" w:cs="Arial" w:eastAsia="Arial" w:hAnsi="Arial"/>
          <w:sz w:val="24"/>
          <w:szCs w:val="24"/>
        </w:rPr>
        <w:t xml:space="preserve">48. По заявлению государственных органов, органов местного самоуправления или уполномоченного органа в сфере государственной гражданской службы и муниципальной службы, либо по инициативе уполномоченного государственного органа допускается обучение более 72 часов.".</w:t>
      </w:r>
    </w:p>
    <w:p>
      <w:pPr>
        <w:spacing w:after="120"/>
        <w:ind w:firstLine="567"/>
        <w:jc w:val="both"/>
      </w:pPr>
      <w:r>
        <w:rPr>
          <w:rFonts w:ascii="Arial" w:cs="Arial" w:eastAsia="Arial" w:hAnsi="Arial"/>
          <w:sz w:val="24"/>
          <w:szCs w:val="24"/>
        </w:rPr>
        <w:t xml:space="preserve">5. Министерству финансов Кыргызской Республики:</w:t>
      </w:r>
    </w:p>
    <w:p>
      <w:pPr>
        <w:spacing w:after="120"/>
        <w:ind w:firstLine="567"/>
        <w:jc w:val="both"/>
      </w:pPr>
      <w:r>
        <w:rPr>
          <w:rFonts w:ascii="Arial" w:cs="Arial" w:eastAsia="Arial" w:hAnsi="Arial"/>
          <w:sz w:val="24"/>
          <w:szCs w:val="24"/>
        </w:rPr>
        <w:t xml:space="preserve">1) в установленном порядке по согласованию с Комитетом по бюджету, экономической и фискальной политике Жогорку Кенеша Кыргызской Республики предусмотреть выделение Академии государственного управления при Президенте Кыргызской Республики имени Жусупа Абдрахманова 6155300 (шесть миллионов сто пятьдесят пять тысяч триста) сомов на оплату труда профессорско-преподавательского состава;</w:t>
      </w:r>
    </w:p>
    <w:p>
      <w:pPr>
        <w:spacing w:after="120"/>
        <w:ind w:firstLine="567"/>
        <w:jc w:val="both"/>
      </w:pPr>
      <w:r>
        <w:rPr>
          <w:rFonts w:ascii="Arial" w:cs="Arial" w:eastAsia="Arial" w:hAnsi="Arial"/>
          <w:sz w:val="24"/>
          <w:szCs w:val="24"/>
        </w:rPr>
        <w:t xml:space="preserve">2) учесть вышеуказанные изменения при разработке проекта Закона Кыргызской Республики "О внесении изменений в </w:t>
      </w:r>
      <w:hyperlink w:history="1" r:id="rIduqfr1zsitl5ai8hwmsq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120"/>
        <w:ind w:firstLine="567"/>
        <w:jc w:val="both"/>
      </w:pPr>
      <w:r>
        <w:rPr>
          <w:rFonts w:ascii="Arial" w:cs="Arial" w:eastAsia="Arial" w:hAnsi="Arial"/>
          <w:sz w:val="24"/>
          <w:szCs w:val="24"/>
        </w:rPr>
        <w:t xml:space="preserve">3) ежегодно предусматривать денежные средства Академии государственного управления при Президенте Кыргызской Республики имени Жусупа Абдрахманова в следующих размерах:</w:t>
      </w:r>
    </w:p>
    <w:p>
      <w:pPr>
        <w:spacing w:after="120"/>
        <w:ind w:firstLine="567"/>
        <w:jc w:val="both"/>
      </w:pPr>
      <w:r>
        <w:rPr>
          <w:rFonts w:ascii="Arial" w:cs="Arial" w:eastAsia="Arial" w:hAnsi="Arial"/>
          <w:sz w:val="24"/>
          <w:szCs w:val="24"/>
        </w:rPr>
        <w:t xml:space="preserve">- в 2025 году - 79406800 (семьдесят девять миллионов четыреста шесть тысяч восемьсот) сомов;</w:t>
      </w:r>
    </w:p>
    <w:p>
      <w:pPr>
        <w:spacing w:after="120"/>
        <w:ind w:firstLine="567"/>
        <w:jc w:val="both"/>
      </w:pPr>
      <w:r>
        <w:rPr>
          <w:rFonts w:ascii="Arial" w:cs="Arial" w:eastAsia="Arial" w:hAnsi="Arial"/>
          <w:sz w:val="24"/>
          <w:szCs w:val="24"/>
        </w:rPr>
        <w:t xml:space="preserve">- в 2026 году - 43387300 (сорок три миллиона триста восемьдесят семь тысяч триста) сомов;</w:t>
      </w:r>
    </w:p>
    <w:p>
      <w:pPr>
        <w:spacing w:after="120"/>
        <w:ind w:firstLine="567"/>
        <w:jc w:val="both"/>
      </w:pPr>
      <w:r>
        <w:rPr>
          <w:rFonts w:ascii="Arial" w:cs="Arial" w:eastAsia="Arial" w:hAnsi="Arial"/>
          <w:sz w:val="24"/>
          <w:szCs w:val="24"/>
        </w:rPr>
        <w:t xml:space="preserve">- на 2027 год и последующие годы - 41554900 (сорок один миллион пятьсот пятьдесят четыре тысячи девятьсот) сомов.</w:t>
      </w:r>
    </w:p>
    <w:p>
      <w:pPr>
        <w:spacing w:after="120"/>
        <w:ind w:firstLine="567"/>
        <w:jc w:val="both"/>
      </w:pPr>
      <w:r>
        <w:rPr>
          <w:rFonts w:ascii="Arial" w:cs="Arial" w:eastAsia="Arial" w:hAnsi="Arial"/>
          <w:sz w:val="24"/>
          <w:szCs w:val="24"/>
        </w:rPr>
        <w:t xml:space="preserve">6. Академии государственного управления при Президенте Кыргызской Республики имени Жусупа Абдрахманова:</w:t>
      </w:r>
    </w:p>
    <w:p>
      <w:pPr>
        <w:spacing w:after="120"/>
        <w:ind w:firstLine="567"/>
        <w:jc w:val="both"/>
      </w:pPr>
      <w:r>
        <w:rPr>
          <w:rFonts w:ascii="Arial" w:cs="Arial" w:eastAsia="Arial" w:hAnsi="Arial"/>
          <w:sz w:val="24"/>
          <w:szCs w:val="24"/>
        </w:rPr>
        <w:t xml:space="preserve">1) приостановить набор на образовательные бакалаврские программы с 2025 года;</w:t>
      </w:r>
    </w:p>
    <w:p>
      <w:pPr>
        <w:spacing w:after="120"/>
        <w:ind w:firstLine="567"/>
        <w:jc w:val="both"/>
      </w:pPr>
      <w:r>
        <w:rPr>
          <w:rFonts w:ascii="Arial" w:cs="Arial" w:eastAsia="Arial" w:hAnsi="Arial"/>
          <w:sz w:val="24"/>
          <w:szCs w:val="24"/>
        </w:rPr>
        <w:t xml:space="preserve">2) зачисленным студентам до 2024 года обеспечить продолжение обучения до окончания бакалавриата;</w:t>
      </w:r>
    </w:p>
    <w:p>
      <w:pPr>
        <w:spacing w:after="120"/>
        <w:ind w:firstLine="567"/>
        <w:jc w:val="both"/>
      </w:pPr>
      <w:r>
        <w:rPr>
          <w:rFonts w:ascii="Arial" w:cs="Arial" w:eastAsia="Arial" w:hAnsi="Arial"/>
          <w:sz w:val="24"/>
          <w:szCs w:val="24"/>
        </w:rPr>
        <w:t xml:space="preserve">3) произвести реорганизацию структуры;</w:t>
      </w:r>
    </w:p>
    <w:p>
      <w:pPr>
        <w:spacing w:after="120"/>
        <w:ind w:firstLine="567"/>
        <w:jc w:val="both"/>
      </w:pPr>
      <w:r>
        <w:rPr>
          <w:rFonts w:ascii="Arial" w:cs="Arial" w:eastAsia="Arial" w:hAnsi="Arial"/>
          <w:sz w:val="24"/>
          <w:szCs w:val="24"/>
        </w:rPr>
        <w:t xml:space="preserve">4) обеспечить целевое использование финансовых средств, указанных в пункте 5 настоящего постановления.</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3 сентября 2024 года № 67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3mfn_wlnxlvaf35nxwqyd">
        <w:r>
          <w:rPr>
            <w:rFonts w:ascii="Arial" w:cs="Arial" w:eastAsia="Arial" w:hAnsi="Arial"/>
            <w:color w:val="1D4ED8"/>
            <w:sz w:val="24"/>
            <w:szCs w:val="24"/>
            <w:u w:val="single"/>
          </w:rPr>
          <w:t xml:space="preserve">Приложение 2</w:t>
        </w:r>
      </w:hyperlink>
    </w:p>
    <w:p>
      <w:pPr>
        <w:spacing w:after="240" w:before="200"/>
        <w:jc w:val="center"/>
      </w:pPr>
      <w:r>
        <w:rPr>
          <w:rFonts w:ascii="Arial" w:cs="Arial" w:eastAsia="Arial" w:hAnsi="Arial"/>
          <w:b/>
          <w:bCs/>
          <w:sz w:val="32"/>
          <w:szCs w:val="32"/>
        </w:rPr>
        <w:t xml:space="preserve">СТАВКИ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6420"/>
        <w:gridCol w:w="1171"/>
        <w:gridCol w:w="1171"/>
        <w:gridCol w:w="1171"/>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4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Контингент обучающихся</w:t>
            </w:r>
          </w:p>
        </w:tc>
        <w:tc>
          <w:tcPr>
            <w:tcW w:type="dxa" w:w="351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почасовой оплаты труда,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Профессор, доктор наук</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Доцент, кандидат наук</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не имеющие ученой степени</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Обучающиеся в общеобразовательных организациях начального и среднего профессионального образования;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Аспиранты, слушатели учебных заведений по повышению квалификации руководящих работников и специалистов</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служащие</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гражданские служащие и муниципальные служащие, обучающиеся в рамках государственного заказа в Академии государственного управления при Президенте Кыргызской Республики имени Жусупа Абдрахманова</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Судьи и работники судебной системы Кыргызской Республики</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knlx5vzdznb617xwryfb2">
        <w:r>
          <w:rPr>
            <w:rFonts w:ascii="Arial" w:cs="Arial" w:eastAsia="Arial" w:hAnsi="Arial"/>
            <w:color w:val="1D4ED8"/>
            <w:sz w:val="24"/>
            <w:szCs w:val="24"/>
            <w:u w:val="single"/>
          </w:rPr>
          <w:t xml:space="preserve">Приложение 3</w:t>
        </w:r>
      </w:hyperlink>
    </w:p>
    <w:p>
      <w:pPr>
        <w:spacing w:after="240" w:before="200"/>
        <w:jc w:val="center"/>
      </w:pPr>
      <w:r>
        <w:rPr>
          <w:rFonts w:ascii="Arial" w:cs="Arial" w:eastAsia="Arial" w:hAnsi="Arial"/>
          <w:b/>
          <w:bCs/>
          <w:sz w:val="32"/>
          <w:szCs w:val="32"/>
        </w:rPr>
        <w:t xml:space="preserve">ШТАТ
 Академии государственного управления при Президенте Кыргызской Республики имени Жусупа Абдрахманова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4215"/>
        <w:gridCol w:w="1425"/>
        <w:gridCol w:w="1425"/>
        <w:gridCol w:w="1425"/>
        <w:gridCol w:w="1425"/>
      </w:tblGrid>
      <w:tr>
        <w:tc>
          <w:tcPr>
            <w:tcW w:type="dxa" w:w="2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5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2024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2025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2026 года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 1 сентября 2027 года</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Ректорат</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учебной работе</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научной работе и государственному языку</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Проректор по административной и хозяйственной работе</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Центр профессионального образования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Отдел учебно-методической работы и академических программ</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Отдел исследований развития государственного управления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Отдел кадров</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Отдел регламента, протокола и внешних связей</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Финансово-экономический отдел</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 Отдел информационных технологий и материально-технического обеспечения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складом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Центр переподготовки и повышения квалификации</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 Отдел организации, мониторинга и контроля</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 Отдел обучения в региональных высших учебных заведениях</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 Административно-хозяйственный отдел</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Слесарь-сантехник</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двора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Комендант</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Техничка</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w:t>
            </w:r>
          </w:p>
        </w:tc>
      </w:tr>
    </w:tbl>
    <w:p>
      <w:pPr>
        <w:spacing w:after="12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_7tjmnmlfpwwscvaeinl">
      <w:r>
        <w:rPr>
          <w:rFonts w:ascii="Arial" w:cs="Arial" w:eastAsia="Arial" w:hAnsi="Arial"/>
          <w:color w:val="132D3F"/>
          <w:sz w:val="16"/>
          <w:szCs w:val="16"/>
          <w:u w:val="single"/>
        </w:rPr>
        <w:t xml:space="preserve">dalil.kg/document/230014283</w:t>
      </w:r>
    </w:hyperlink>
  </w:p>
  <w:p>
    <w:pPr>
      <w:spacing w:after="0" w:before="40"/>
      <w:jc w:val="center"/>
    </w:pPr>
    <w:hyperlink w:history="1" r:id="rId8kcnnrzpedckzoxizvr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fw1npq0tquaqdod7kij" Type="http://schemas.openxmlformats.org/officeDocument/2006/relationships/hyperlink" Target="https://dalil.kg/document/230043827" TargetMode="External"/><Relationship Id="rIdqd2ppdezxv-bptof3th1f" Type="http://schemas.openxmlformats.org/officeDocument/2006/relationships/hyperlink" Target="https://dalil.kg/document/112301#st_13" TargetMode="External"/><Relationship Id="rIdkqi_hxbfarseqssdk3nh6" Type="http://schemas.openxmlformats.org/officeDocument/2006/relationships/hyperlink" Target="https://dalil.kg/document/112301#st_17" TargetMode="External"/><Relationship Id="rIdgmviqnjeec9lmsc-knvwi" Type="http://schemas.openxmlformats.org/officeDocument/2006/relationships/hyperlink" Target="https://dalil.kg/document/92458" TargetMode="External"/><Relationship Id="rIden1d98mh3thpuq2tvleyf" Type="http://schemas.openxmlformats.org/officeDocument/2006/relationships/hyperlink" Target="https://dalil.kg/document/92458#pr2" TargetMode="External"/><Relationship Id="rIddymwy1t-q-ggxwobtmzud" Type="http://schemas.openxmlformats.org/officeDocument/2006/relationships/hyperlink" Target="https://dalil.kg/document/230014283#pr1" TargetMode="External"/><Relationship Id="rIdark0k7tpjawsuhzxaubt1" Type="http://schemas.openxmlformats.org/officeDocument/2006/relationships/hyperlink" Target="https://dalil.kg/document/230043827" TargetMode="External"/><Relationship Id="rId9osnx6tqtwqlgaskecouq" Type="http://schemas.openxmlformats.org/officeDocument/2006/relationships/hyperlink" Target="https://dalil.kg/document/230043827" TargetMode="External"/><Relationship Id="rIdmdk0tetz4q3vtioxmvck2" Type="http://schemas.openxmlformats.org/officeDocument/2006/relationships/hyperlink" Target="https://dalil.kg/document/160130" TargetMode="External"/><Relationship Id="rIdlrcohde6vatnu3_awa4um" Type="http://schemas.openxmlformats.org/officeDocument/2006/relationships/hyperlink" Target="https://dalil.kg/document/160132" TargetMode="External"/><Relationship Id="rIddoosfivs40vrp1ekk8mzi" Type="http://schemas.openxmlformats.org/officeDocument/2006/relationships/hyperlink" Target="https://dalil.kg/document/160130" TargetMode="External"/><Relationship Id="rIdoigmggvpiu60uum2c7zgr" Type="http://schemas.openxmlformats.org/officeDocument/2006/relationships/hyperlink" Target="https://dalil.kg/document/160132#r5" TargetMode="External"/><Relationship Id="rIduqfr1zsitl5ai8hwmsqlp" Type="http://schemas.openxmlformats.org/officeDocument/2006/relationships/hyperlink" Target="https://dalil.kg/document/230000489" TargetMode="External"/><Relationship Id="rId3mfn_wlnxlvaf35nxwqyd" Type="http://schemas.openxmlformats.org/officeDocument/2006/relationships/hyperlink" Target="https://dalil.kg/document/92458#pr2" TargetMode="External"/><Relationship Id="rIdknlx5vzdznb617xwryfb2" Type="http://schemas.openxmlformats.org/officeDocument/2006/relationships/hyperlink" Target="https://dalil.kg/document/98203#pr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7tjmnmlfpwwscvaeinl" Type="http://schemas.openxmlformats.org/officeDocument/2006/relationships/hyperlink" Target="https://dalil.kg/document/230014283" TargetMode="External"/><Relationship Id="rId8kcnnrzpedckzoxizvr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2026-09-25T18:27:53.071Z</dcterms:created>
  <dcterms:modified xsi:type="dcterms:W3CDTF">2026-09-25T18:27:53.071Z</dcterms:modified>
</cp:coreProperties>
</file>

<file path=docProps/custom.xml><?xml version="1.0" encoding="utf-8"?>
<Properties xmlns="http://schemas.openxmlformats.org/officeDocument/2006/custom-properties" xmlns:vt="http://schemas.openxmlformats.org/officeDocument/2006/docPropsVTypes"/>
</file>