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7 августа 2024 года № 162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порядке проведения проверок субъектов предпринимательства", "О конкуренции")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mi7illgcaym6lrvqmtzr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w:t>
      </w:r>
    </w:p>
    <w:p>
      <w:pPr>
        <w:spacing w:after="120"/>
        <w:ind w:firstLine="567"/>
        <w:jc w:val="both"/>
      </w:pPr>
      <w:r>
        <w:rPr>
          <w:rFonts w:ascii="Arial" w:cs="Arial" w:eastAsia="Arial" w:hAnsi="Arial"/>
          <w:sz w:val="24"/>
          <w:szCs w:val="24"/>
        </w:rPr>
        <w:t xml:space="preserve">1) часть 5 </w:t>
      </w:r>
      <w:hyperlink w:history="1" r:id="rIdvngoppfcccsd2vyvj5mx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 государственным антимонопольным органом по признакам завышения (занижения) потребительских цен при действиях хозяйствующих субъектов, противоречащих антимонопольному законодательству, при государственном регулировании цен на социально значимые товары, а также при мотивированном представлении Евразийской экономической комиссии. Порядок осуществления контроля уполномоченным государственным органом по регулированию и надзору в области антимонопольного законодательства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предложение второе абзаца второго</w:t>
      </w:r>
      <w:hyperlink w:history="1" r:id="rIdhcdgk369np-3tjkspkxo4">
        <w:r>
          <w:rPr>
            <w:rFonts w:ascii="Arial" w:cs="Arial" w:eastAsia="Arial" w:hAnsi="Arial"/>
            <w:color w:val="1D4ED8"/>
            <w:sz w:val="24"/>
            <w:szCs w:val="24"/>
            <w:u w:val="single"/>
          </w:rPr>
          <w:t xml:space="preserve"> статьи 2</w:t>
        </w:r>
      </w:hyperlink>
      <w:r>
        <w:rPr>
          <w:rFonts w:ascii="Arial" w:cs="Arial" w:eastAsia="Arial" w:hAnsi="Arial"/>
          <w:sz w:val="24"/>
          <w:szCs w:val="24"/>
        </w:rPr>
        <w:t xml:space="preserve"> исключить.</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0zzzlg1drx8g_-sz2bohp">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конкуренции" (Ведомости Жогорку Кенеша Кыргызской Республики, 2011 г., № 7, ст.1019) следующие изменения:</w:t>
      </w:r>
    </w:p>
    <w:p>
      <w:pPr>
        <w:spacing w:after="120"/>
        <w:ind w:firstLine="567"/>
        <w:jc w:val="both"/>
      </w:pPr>
      <w:r>
        <w:rPr>
          <w:rFonts w:ascii="Arial" w:cs="Arial" w:eastAsia="Arial" w:hAnsi="Arial"/>
          <w:sz w:val="24"/>
          <w:szCs w:val="24"/>
        </w:rPr>
        <w:t xml:space="preserve">1) в </w:t>
      </w:r>
      <w:hyperlink w:history="1" r:id="rIdy1hrhrg5e38b7avjlmybx">
        <w:r>
          <w:rPr>
            <w:rFonts w:ascii="Arial" w:cs="Arial" w:eastAsia="Arial" w:hAnsi="Arial"/>
            <w:color w:val="1D4ED8"/>
            <w:sz w:val="24"/>
            <w:szCs w:val="24"/>
            <w:u w:val="single"/>
          </w:rPr>
          <w:t xml:space="preserve">статье 2:</w:t>
        </w:r>
      </w:hyperlink>
    </w:p>
    <w:p>
      <w:pPr>
        <w:spacing w:after="120"/>
        <w:ind w:firstLine="567"/>
        <w:jc w:val="both"/>
      </w:pPr>
      <w:r>
        <w:rPr>
          <w:rFonts w:ascii="Arial" w:cs="Arial" w:eastAsia="Arial" w:hAnsi="Arial"/>
          <w:sz w:val="24"/>
          <w:szCs w:val="24"/>
        </w:rPr>
        <w:t xml:space="preserve">а) в абзаце первом слова "физические и юридические лица" заменить словами "физические и юридические лица, в том числе иностранные юридические лица";</w:t>
      </w:r>
    </w:p>
    <w:p>
      <w:pPr>
        <w:spacing w:after="120"/>
        <w:ind w:firstLine="567"/>
        <w:jc w:val="both"/>
      </w:pPr>
      <w:r>
        <w:rPr>
          <w:rFonts w:ascii="Arial" w:cs="Arial" w:eastAsia="Arial" w:hAnsi="Arial"/>
          <w:sz w:val="24"/>
          <w:szCs w:val="24"/>
        </w:rPr>
        <w:t xml:space="preserve">б) дополнить абзацами следующего содержания:</w:t>
      </w:r>
    </w:p>
    <w:p>
      <w:pPr>
        <w:spacing w:after="120"/>
        <w:ind w:firstLine="567"/>
        <w:jc w:val="both"/>
      </w:pPr>
      <w:r>
        <w:rPr>
          <w:rFonts w:ascii="Arial" w:cs="Arial" w:eastAsia="Arial" w:hAnsi="Arial"/>
          <w:sz w:val="24"/>
          <w:szCs w:val="24"/>
        </w:rPr>
        <w:t xml:space="preserve">"Положения настоящего Закона применяются к достигнутым за пределами территории Кыргызской Республики соглашениям между отечественными и/или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Кыргызской Республики. Рассматриваются такие нарушения антимонопольным органом путем заключения двусторонних соглашений в рамках работы с международными организациями, а также другими способами взаимодействия.</w:t>
      </w:r>
    </w:p>
    <w:p>
      <w:pPr>
        <w:spacing w:after="120"/>
        <w:ind w:firstLine="567"/>
        <w:jc w:val="both"/>
      </w:pPr>
      <w:r>
        <w:rPr>
          <w:rFonts w:ascii="Arial" w:cs="Arial" w:eastAsia="Arial" w:hAnsi="Arial"/>
          <w:sz w:val="24"/>
          <w:szCs w:val="24"/>
        </w:rPr>
        <w:t xml:space="preserve">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в </w:t>
      </w:r>
      <w:hyperlink w:history="1" r:id="rIdv85papvhmwccnymwdfjmn">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признать утратившим силу;</w:t>
      </w:r>
    </w:p>
    <w:p>
      <w:pPr>
        <w:spacing w:after="120"/>
        <w:ind w:firstLine="567"/>
        <w:jc w:val="both"/>
      </w:pPr>
      <w:r>
        <w:rPr>
          <w:rFonts w:ascii="Arial" w:cs="Arial" w:eastAsia="Arial" w:hAnsi="Arial"/>
          <w:sz w:val="24"/>
          <w:szCs w:val="24"/>
        </w:rPr>
        <w:t xml:space="preserve">б) абзац третий изложить в следующей редакции;</w:t>
      </w:r>
    </w:p>
    <w:p>
      <w:pPr>
        <w:spacing w:after="120"/>
        <w:ind w:firstLine="567"/>
        <w:jc w:val="both"/>
      </w:pPr>
      <w:r>
        <w:rPr>
          <w:rFonts w:ascii="Arial" w:cs="Arial" w:eastAsia="Arial" w:hAnsi="Arial"/>
          <w:sz w:val="24"/>
          <w:szCs w:val="24"/>
        </w:rPr>
        <w:t xml:space="preserve">"Национальный банк осуществляет антимонопольное регулирование деятельности лиц, поднадзорных Национальному банку.";</w:t>
      </w:r>
    </w:p>
    <w:p>
      <w:pPr>
        <w:spacing w:after="120"/>
        <w:ind w:firstLine="567"/>
        <w:jc w:val="both"/>
      </w:pPr>
      <w:r>
        <w:rPr>
          <w:rFonts w:ascii="Arial" w:cs="Arial" w:eastAsia="Arial" w:hAnsi="Arial"/>
          <w:sz w:val="24"/>
          <w:szCs w:val="24"/>
        </w:rPr>
        <w:t xml:space="preserve">3) в </w:t>
      </w:r>
      <w:hyperlink w:history="1" r:id="rId0xdddfhd9hozpheyfqvu4">
        <w:r>
          <w:rPr>
            <w:rFonts w:ascii="Arial" w:cs="Arial" w:eastAsia="Arial" w:hAnsi="Arial"/>
            <w:color w:val="1D4ED8"/>
            <w:sz w:val="24"/>
            <w:szCs w:val="24"/>
            <w:u w:val="single"/>
          </w:rPr>
          <w:t xml:space="preserve">статье 3:</w:t>
        </w:r>
      </w:hyperlink>
    </w:p>
    <w:p>
      <w:pPr>
        <w:spacing w:after="120"/>
        <w:ind w:firstLine="567"/>
        <w:jc w:val="both"/>
      </w:pPr>
      <w:r>
        <w:rPr>
          <w:rFonts w:ascii="Arial" w:cs="Arial" w:eastAsia="Arial" w:hAnsi="Arial"/>
          <w:sz w:val="24"/>
          <w:szCs w:val="24"/>
        </w:rPr>
        <w:t xml:space="preserve">а) абзац двадцать пятый изложить в следующей редакции:</w:t>
      </w:r>
    </w:p>
    <w:p>
      <w:pPr>
        <w:spacing w:after="120"/>
        <w:ind w:firstLine="567"/>
        <w:jc w:val="both"/>
      </w:pPr>
      <w:r>
        <w:rPr>
          <w:rFonts w:ascii="Arial" w:cs="Arial" w:eastAsia="Arial" w:hAnsi="Arial"/>
          <w:sz w:val="24"/>
          <w:szCs w:val="24"/>
        </w:rPr>
        <w:t xml:space="preserve">"хозяйствующий субъект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лицензионно-разрешительной системе,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ind w:firstLine="567"/>
        <w:jc w:val="both"/>
      </w:pPr>
      <w:r>
        <w:rPr>
          <w:rFonts w:ascii="Arial" w:cs="Arial" w:eastAsia="Arial" w:hAnsi="Arial"/>
          <w:sz w:val="24"/>
          <w:szCs w:val="24"/>
        </w:rPr>
        <w:t xml:space="preserve">б) абзац двадцать восьмой признать утратившим силу;</w:t>
      </w:r>
    </w:p>
    <w:p>
      <w:pPr>
        <w:spacing w:after="120"/>
        <w:ind w:firstLine="567"/>
        <w:jc w:val="both"/>
      </w:pPr>
      <w:r>
        <w:rPr>
          <w:rFonts w:ascii="Arial" w:cs="Arial" w:eastAsia="Arial" w:hAnsi="Arial"/>
          <w:sz w:val="24"/>
          <w:szCs w:val="24"/>
        </w:rPr>
        <w:t xml:space="preserve">в) абзацы тридцать четвертый и тридцать пятый на официальном языке изложить в следующей редакции:</w:t>
      </w:r>
    </w:p>
    <w:p>
      <w:pPr>
        <w:spacing w:after="120"/>
        <w:ind w:firstLine="567"/>
        <w:jc w:val="both"/>
      </w:pPr>
      <w:r>
        <w:rPr>
          <w:rFonts w:ascii="Arial" w:cs="Arial" w:eastAsia="Arial" w:hAnsi="Arial"/>
          <w:sz w:val="24"/>
          <w:szCs w:val="24"/>
        </w:rPr>
        <w:t xml:space="preserve">"координация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конкурентная цена финансовой услуги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sz w:val="24"/>
          <w:szCs w:val="24"/>
        </w:rPr>
        <w:t xml:space="preserve">г) дополнить абзацем следующего содержания:</w:t>
      </w:r>
    </w:p>
    <w:p>
      <w:pPr>
        <w:spacing w:after="120"/>
        <w:ind w:firstLine="567"/>
        <w:jc w:val="both"/>
      </w:pPr>
      <w:r>
        <w:rPr>
          <w:rFonts w:ascii="Arial" w:cs="Arial" w:eastAsia="Arial" w:hAnsi="Arial"/>
          <w:sz w:val="24"/>
          <w:szCs w:val="24"/>
        </w:rPr>
        <w:t xml:space="preserve">"картель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Хозяйствующие субъекты, вступающие в картельное соглашение, сохраняют свою юридическую и хозяйственную самостоятельность.";</w:t>
      </w:r>
    </w:p>
    <w:p>
      <w:pPr>
        <w:spacing w:after="120"/>
        <w:ind w:firstLine="567"/>
        <w:jc w:val="both"/>
      </w:pPr>
      <w:r>
        <w:rPr>
          <w:rFonts w:ascii="Arial" w:cs="Arial" w:eastAsia="Arial" w:hAnsi="Arial"/>
          <w:sz w:val="24"/>
          <w:szCs w:val="24"/>
        </w:rPr>
        <w:t xml:space="preserve">4) часть 3 </w:t>
      </w:r>
      <w:hyperlink w:history="1" r:id="rIdu54tv4kq73cg17dad2ubp">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или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при потреблении в производственных целях), необусловленность роста цены товара соответствующему такому уровню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120"/>
        <w:ind w:firstLine="567"/>
        <w:jc w:val="both"/>
      </w:pPr>
      <w:r>
        <w:rPr>
          <w:rFonts w:ascii="Arial" w:cs="Arial" w:eastAsia="Arial" w:hAnsi="Arial"/>
          <w:sz w:val="24"/>
          <w:szCs w:val="24"/>
        </w:rPr>
        <w:t xml:space="preserve">5) абзац первый части 1 </w:t>
      </w:r>
      <w:hyperlink w:history="1" r:id="rIdix5t1kxgdic3mj0d1slna">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Признаются картелем и запрещаются горизонтальные соглашения между хозяйствующими субъектами - 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 ограничению конкуренции, в том числе соглашения, направленные:";</w:t>
      </w:r>
    </w:p>
    <w:p>
      <w:pPr>
        <w:spacing w:after="120"/>
        <w:ind w:firstLine="567"/>
        <w:jc w:val="both"/>
      </w:pPr>
      <w:r>
        <w:rPr>
          <w:rFonts w:ascii="Arial" w:cs="Arial" w:eastAsia="Arial" w:hAnsi="Arial"/>
          <w:sz w:val="24"/>
          <w:szCs w:val="24"/>
        </w:rPr>
        <w:t xml:space="preserve">6) </w:t>
      </w:r>
      <w:hyperlink w:history="1" r:id="rIdcdljoarpsr64hjghixktp">
        <w:r>
          <w:rPr>
            <w:rFonts w:ascii="Arial" w:cs="Arial" w:eastAsia="Arial" w:hAnsi="Arial"/>
            <w:color w:val="1D4ED8"/>
            <w:sz w:val="24"/>
            <w:szCs w:val="24"/>
            <w:u w:val="single"/>
          </w:rPr>
          <w:t xml:space="preserve">статью 9 </w:t>
        </w:r>
      </w:hyperlink>
      <w:r>
        <w:rPr>
          <w:rFonts w:ascii="Arial" w:cs="Arial" w:eastAsia="Arial" w:hAnsi="Arial"/>
          <w:sz w:val="24"/>
          <w:szCs w:val="24"/>
        </w:rPr>
        <w:t xml:space="preserve">дополнить частью 6 следующего содержания:</w:t>
      </w:r>
    </w:p>
    <w:p>
      <w:pPr>
        <w:spacing w:after="120"/>
        <w:ind w:firstLine="567"/>
        <w:jc w:val="both"/>
      </w:pPr>
      <w:r>
        <w:rPr>
          <w:rFonts w:ascii="Arial" w:cs="Arial" w:eastAsia="Arial" w:hAnsi="Arial"/>
          <w:sz w:val="24"/>
          <w:szCs w:val="24"/>
        </w:rPr>
        <w:t xml:space="preserve">"6. Государство вправе законом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состояние государственных экономических интересов, национальной безопасности и охраны здоровья населения, путем закрепления исключительного права государства на производство и (или) продажу, покупку товара (работ, услуг) или пользование им.</w:t>
      </w:r>
    </w:p>
    <w:p>
      <w:pPr>
        <w:spacing w:after="120"/>
        <w:ind w:firstLine="567"/>
        <w:jc w:val="both"/>
      </w:pPr>
      <w:r>
        <w:rPr>
          <w:rFonts w:ascii="Arial" w:cs="Arial" w:eastAsia="Arial" w:hAnsi="Arial"/>
          <w:sz w:val="24"/>
          <w:szCs w:val="24"/>
        </w:rPr>
        <w:t xml:space="preserve">Закон о введении государственной монополии на производство, реализацию и приобретение товара (работ, услуг) вступает в силу не ранее одного года со дня его принятия.";</w:t>
      </w:r>
    </w:p>
    <w:p>
      <w:pPr>
        <w:spacing w:after="120"/>
        <w:ind w:firstLine="567"/>
        <w:jc w:val="both"/>
      </w:pPr>
      <w:r>
        <w:rPr>
          <w:rFonts w:ascii="Arial" w:cs="Arial" w:eastAsia="Arial" w:hAnsi="Arial"/>
          <w:sz w:val="24"/>
          <w:szCs w:val="24"/>
        </w:rPr>
        <w:t xml:space="preserve">7) </w:t>
      </w:r>
      <w:hyperlink w:history="1" r:id="rIdlxrsml6vyxptjz2m_-0n1">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iglxhp5uk4dbaopny5cg">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Права сотрудников антимонопольного органа на получение информации</w:t>
      </w:r>
    </w:p>
    <w:p>
      <w:pPr>
        <w:spacing w:after="12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доступ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120"/>
        <w:ind w:firstLine="567"/>
        <w:jc w:val="both"/>
      </w:pPr>
      <w:r>
        <w:rPr>
          <w:rFonts w:ascii="Arial" w:cs="Arial" w:eastAsia="Arial" w:hAnsi="Arial"/>
          <w:sz w:val="24"/>
          <w:szCs w:val="24"/>
        </w:rPr>
        <w:t xml:space="preserve">2.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13 августа 2024 года № 61</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mncycu5tfbbv6fvcsuq">
      <w:r>
        <w:rPr>
          <w:rFonts w:ascii="Arial" w:cs="Arial" w:eastAsia="Arial" w:hAnsi="Arial"/>
          <w:color w:val="132D3F"/>
          <w:sz w:val="16"/>
          <w:szCs w:val="16"/>
          <w:u w:val="single"/>
        </w:rPr>
        <w:t xml:space="preserve">dalil.kg/document/230014962</w:t>
      </w:r>
    </w:hyperlink>
  </w:p>
  <w:p>
    <w:pPr>
      <w:spacing w:after="0" w:before="40"/>
      <w:jc w:val="center"/>
    </w:pPr>
    <w:hyperlink w:history="1" r:id="rIdqwj27mppqprvff_6voa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7illgcaym6lrvqmtzrq" Type="http://schemas.openxmlformats.org/officeDocument/2006/relationships/hyperlink" Target="https://dalil.kg/document/202105" TargetMode="External"/><Relationship Id="rIdvngoppfcccsd2vyvj5mxk" Type="http://schemas.openxmlformats.org/officeDocument/2006/relationships/hyperlink" Target="https://dalil.kg/document/202105#st_1" TargetMode="External"/><Relationship Id="rIdhcdgk369np-3tjkspkxo4" Type="http://schemas.openxmlformats.org/officeDocument/2006/relationships/hyperlink" Target="https://dalil.kg/document/202105#st_2" TargetMode="External"/><Relationship Id="rId0zzzlg1drx8g_-sz2bohp" Type="http://schemas.openxmlformats.org/officeDocument/2006/relationships/hyperlink" Target="https://dalil.kg/document/203356" TargetMode="External"/><Relationship Id="rIdy1hrhrg5e38b7avjlmybx" Type="http://schemas.openxmlformats.org/officeDocument/2006/relationships/hyperlink" Target="https://dalil.kg/document/203356#st_2" TargetMode="External"/><Relationship Id="rIdv85papvhmwccnymwdfjmn" Type="http://schemas.openxmlformats.org/officeDocument/2006/relationships/hyperlink" Target="https://dalil.kg/document/203356#st_2-1" TargetMode="External"/><Relationship Id="rId0xdddfhd9hozpheyfqvu4" Type="http://schemas.openxmlformats.org/officeDocument/2006/relationships/hyperlink" Target="https://dalil.kg/document/203356#st_3" TargetMode="External"/><Relationship Id="rIdu54tv4kq73cg17dad2ubp" Type="http://schemas.openxmlformats.org/officeDocument/2006/relationships/hyperlink" Target="https://dalil.kg/document/203356#st_4" TargetMode="External"/><Relationship Id="rIdix5t1kxgdic3mj0d1slna" Type="http://schemas.openxmlformats.org/officeDocument/2006/relationships/hyperlink" Target="https://dalil.kg/document/203356#st_7" TargetMode="External"/><Relationship Id="rIdcdljoarpsr64hjghixktp" Type="http://schemas.openxmlformats.org/officeDocument/2006/relationships/hyperlink" Target="https://dalil.kg/document/203356#st_9" TargetMode="External"/><Relationship Id="rIdlxrsml6vyxptjz2m_-0n1" Type="http://schemas.openxmlformats.org/officeDocument/2006/relationships/hyperlink" Target="https://dalil.kg/document/203356#st_14" TargetMode="External"/><Relationship Id="rIdniglxhp5uk4dbaopny5cg" Type="http://schemas.openxmlformats.org/officeDocument/2006/relationships/hyperlink" Target="https://dalil.kg/document/203356#st_1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mncycu5tfbbv6fvcsuq" Type="http://schemas.openxmlformats.org/officeDocument/2006/relationships/hyperlink" Target="https://dalil.kg/document/230014962" TargetMode="External"/><Relationship Id="rIdqwj27mppqprvff_6voa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2026-09-25T00:12:44.352Z</dcterms:created>
  <dcterms:modified xsi:type="dcterms:W3CDTF">2026-09-25T00:12:44.352Z</dcterms:modified>
</cp:coreProperties>
</file>

<file path=docProps/custom.xml><?xml version="1.0" encoding="utf-8"?>
<Properties xmlns="http://schemas.openxmlformats.org/officeDocument/2006/custom-properties" xmlns:vt="http://schemas.openxmlformats.org/officeDocument/2006/docPropsVTypes"/>
</file>