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mak78bpktkyeu2oox05d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11 сентября 2024 года № 554)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 фондах развития регионов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hnkvmrsd3fvls45pxmpdn">
        <w:r>
          <w:rPr>
            <w:rFonts w:ascii="Arial" w:cs="Arial" w:eastAsia="Arial" w:hAnsi="Arial"/>
            <w:i/>
            <w:iCs/>
            <w:color w:val="1D4ED8"/>
            <w:sz w:val="24"/>
            <w:szCs w:val="24"/>
            <w:u w:val="single"/>
          </w:rPr>
          <w:t xml:space="preserve">27 февраля 2026 года № 140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Типовое положение о фондах развития регионов (далее - Типовое положение) разработано в соответствии с нормами Бюджетного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неналоговых доходах,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государственных закупках" и определяет порядок использования средств фондов развития регионов.</w:t>
      </w:r>
    </w:p>
    <w:p>
      <w:pPr>
        <w:spacing w:after="120"/>
        <w:ind w:firstLine="567"/>
        <w:jc w:val="both"/>
      </w:pPr>
      <w:r>
        <w:rPr>
          <w:rFonts w:ascii="Arial" w:cs="Arial" w:eastAsia="Arial" w:hAnsi="Arial"/>
          <w:sz w:val="24"/>
          <w:szCs w:val="24"/>
        </w:rPr>
        <w:t xml:space="preserve">2. Фонды развития регионов (далее - Фонд) формируются и функционируют без образования юридического лица и представляют собой счета, открываемые и обслуживаемые в системе казначейства Министерства финансов Кыргызской Республики.</w:t>
      </w:r>
    </w:p>
    <w:p>
      <w:pPr>
        <w:spacing w:after="120"/>
        <w:ind w:firstLine="567"/>
        <w:jc w:val="both"/>
      </w:pPr>
      <w:r>
        <w:rPr>
          <w:rFonts w:ascii="Arial" w:cs="Arial" w:eastAsia="Arial" w:hAnsi="Arial"/>
          <w:sz w:val="24"/>
          <w:szCs w:val="24"/>
        </w:rPr>
        <w:t xml:space="preserve">3. Средства Фонда образуются из средств республиканского бюджета и других отчислений, поступающих в соответствии с законодательством Кыргызской Республики, и аккумулируются на бюджетных и специальных счетах.</w:t>
      </w:r>
    </w:p>
    <w:p>
      <w:pPr>
        <w:spacing w:after="120"/>
        <w:ind w:firstLine="567"/>
        <w:jc w:val="both"/>
      </w:pPr>
      <w:r>
        <w:rPr>
          <w:rFonts w:ascii="Arial" w:cs="Arial" w:eastAsia="Arial" w:hAnsi="Arial"/>
          <w:sz w:val="24"/>
          <w:szCs w:val="24"/>
        </w:rPr>
        <w:t xml:space="preserve">4. За эффективное управление, распределение и освоение средств Фонда области персональную ответственность несет полномочный представитель Президента Кыргызской Республики в области, а средств Фонда района - глава местной государственной администрации.</w:t>
      </w:r>
    </w:p>
    <w:p>
      <w:pPr>
        <w:spacing w:after="120"/>
        <w:ind w:firstLine="567"/>
        <w:jc w:val="both"/>
      </w:pPr>
      <w:r>
        <w:rPr>
          <w:rFonts w:ascii="Arial" w:cs="Arial" w:eastAsia="Arial" w:hAnsi="Arial"/>
          <w:sz w:val="24"/>
          <w:szCs w:val="24"/>
        </w:rPr>
        <w:t xml:space="preserve">5. Управление и использование средств Фонда осуществляется в соответствии с принципами законности, открытости, прозрачности, гласности, рациональности и эффективности.</w:t>
      </w:r>
    </w:p>
    <w:p>
      <w:pPr>
        <w:spacing w:after="240" w:before="200"/>
        <w:jc w:val="center"/>
      </w:pPr>
      <w:r>
        <w:rPr>
          <w:rFonts w:ascii="Arial" w:cs="Arial" w:eastAsia="Arial" w:hAnsi="Arial"/>
          <w:b/>
          <w:bCs/>
          <w:sz w:val="32"/>
          <w:szCs w:val="32"/>
        </w:rPr>
        <w:t xml:space="preserve">Глава 2. Понятия, применяемые в настоящем Типовом положении</w:t>
      </w:r>
    </w:p>
    <w:p>
      <w:pPr>
        <w:spacing w:after="120"/>
        <w:ind w:firstLine="567"/>
        <w:jc w:val="both"/>
      </w:pPr>
      <w:r>
        <w:rPr>
          <w:rFonts w:ascii="Arial" w:cs="Arial" w:eastAsia="Arial" w:hAnsi="Arial"/>
          <w:sz w:val="24"/>
          <w:szCs w:val="24"/>
        </w:rPr>
        <w:t xml:space="preserve">6. Понятия, применяемые в настоящем Типовом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государственное субсидирование местных общественных инициатив</w:t>
      </w:r>
      <w:r>
        <w:rPr>
          <w:rFonts w:ascii="Arial" w:cs="Arial" w:eastAsia="Arial" w:hAnsi="Arial"/>
          <w:sz w:val="24"/>
          <w:szCs w:val="24"/>
        </w:rPr>
        <w:t xml:space="preserve"> - денежные средства, предоставляемые для реализации проектов местного сообщества по благоустройству территорий и улучшению условий проживания местного населения в городе/айылном аймаке;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самоуправления/государственный орган/субъект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зеленая экономика</w:t>
      </w:r>
      <w:r>
        <w:rPr>
          <w:rFonts w:ascii="Arial" w:cs="Arial" w:eastAsia="Arial" w:hAnsi="Arial"/>
          <w:sz w:val="24"/>
          <w:szCs w:val="24"/>
        </w:rPr>
        <w:t xml:space="preserve"> - экономика,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сохраняющая и преумножающая природный капитал, эффективно использующая ресурсы и стимулирующая сохранение естественных экосистем страны;</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местные общественные инициативы</w:t>
      </w:r>
      <w:r>
        <w:rPr>
          <w:rFonts w:ascii="Arial" w:cs="Arial" w:eastAsia="Arial" w:hAnsi="Arial"/>
          <w:sz w:val="24"/>
          <w:szCs w:val="24"/>
        </w:rPr>
        <w:t xml:space="preserve"> - деятельность жителей, проживающих на территории города/айылного аймака, предпринимателей и организаций гражданского общества по формированию инициативных групп, выдвижению, первоначальному обсуждению, отбору, внесению в органы местного самоуправления проектов, направленных на улучшение условий проживания местного населения в городе/айылном аймаке, а также по мобилизации финансовых, материальных и иных ресурсов местного сообщества и предпринимателей и подготовке (совместно с органами местного самоуправления) проектов для их представления на конкурс по отбору проектов, выдвинутых в рамках инициатив местного сообщества, для финансирования за счет средств Фонда;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самоуправления/государственный орган/субъект предпринимательства, чья проектная заявка получила одобрение Наблюдательного совета Фонда и заключивший договор с исполнительным органом Фонда на финансирование проекта, за исключением экономических проектов;</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при поддержке местного сообщества, организованный группой граждан;</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описывающая этапы и порядок финансирования проекта по траншам и соответствующая плану реализации проекта;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использования средств Фонда;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субъектов национальной экономики перед финансово-кредитными, международными и иностранными организациями, предоставляемый со стороны лица, уполномоченного Кабинетом Министров Кыргызской Республики на предоставление поручительства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на основе типового формата, представленное от имени органа местного самоуправления/государственного органа/ субъекта предпринимательства для участия в конкурсе по отбору проектов, финансируемых за счет средств Фонда;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сфере образования, культуры, здравоохранения, спорта, социальной защиты, досуга, работы с молодежью, народного творчества в рамках решения вопросов местного значения, направленных на улучшение социальной, экономической и культурной инфраструктуры населенных пунктов, переданных государственных полномочий, а также предоставлению государственных и муниципальных услуг;</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стартап-проект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создающий значительные улучшения, направленный на решение проблем и получение прибыли;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независимо от организационно-правовых форм и форм собственности,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уполномоченный агент</w:t>
      </w:r>
      <w:r>
        <w:rPr>
          <w:rFonts w:ascii="Arial" w:cs="Arial" w:eastAsia="Arial" w:hAnsi="Arial"/>
          <w:sz w:val="24"/>
          <w:szCs w:val="24"/>
        </w:rPr>
        <w:t xml:space="preserve"> - лицо, уполномоченное Кабинетом Министров Кыргызской Республики на реализацию государственной политики в области бюджетного кредитования, включая финансирование экономических проектов в виде бюджетного кредитования за счет средств фондов развития регионов;</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уполномоченное лицо по предоставлению поручительства</w:t>
      </w:r>
      <w:r>
        <w:rPr>
          <w:rFonts w:ascii="Arial" w:cs="Arial" w:eastAsia="Arial" w:hAnsi="Arial"/>
          <w:sz w:val="24"/>
          <w:szCs w:val="24"/>
        </w:rPr>
        <w:t xml:space="preserve"> - лицо, уполномоченное Кабинетом Министров Кыргызской Республики на предоставление поручительства субъектам национальной экономики;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реконструкцию или модернизацию действующих производств в целях получения прибыли.</w:t>
      </w:r>
    </w:p>
    <w:p>
      <w:pPr>
        <w:spacing w:after="240" w:before="200"/>
        <w:jc w:val="center"/>
      </w:pPr>
      <w:r>
        <w:rPr>
          <w:rFonts w:ascii="Arial" w:cs="Arial" w:eastAsia="Arial" w:hAnsi="Arial"/>
          <w:b/>
          <w:bCs/>
          <w:sz w:val="32"/>
          <w:szCs w:val="32"/>
        </w:rPr>
        <w:t xml:space="preserve">Глава 3. Использование средств Фонда</w:t>
      </w:r>
    </w:p>
    <w:p>
      <w:pPr>
        <w:spacing w:after="120"/>
        <w:ind w:firstLine="567"/>
        <w:jc w:val="both"/>
      </w:pPr>
      <w:r>
        <w:rPr>
          <w:rFonts w:ascii="Arial" w:cs="Arial" w:eastAsia="Arial" w:hAnsi="Arial"/>
          <w:sz w:val="24"/>
          <w:szCs w:val="24"/>
        </w:rPr>
        <w:t xml:space="preserve">7. Средства Фонда направляются на реализацию программ социально-экономического развития областей, районов, городов и айылных аймаков, субсидирование местных общественных инициатив, органов местного самоуправления, государственных органов,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ind w:firstLine="567"/>
        <w:jc w:val="both"/>
      </w:pPr>
      <w:r>
        <w:rPr>
          <w:rFonts w:ascii="Arial" w:cs="Arial" w:eastAsia="Arial" w:hAnsi="Arial"/>
          <w:sz w:val="24"/>
          <w:szCs w:val="24"/>
        </w:rPr>
        <w:t xml:space="preserve">8. Средства Фонда на бюджетном и специальном счетах направляются на финансирование социальных, инфраструктурных проектов и проектов, выдвинутых в рамках государственного субсидирования местных общественных инициатив, экономических проектов, в том числе на:</w:t>
      </w:r>
    </w:p>
    <w:p>
      <w:pPr>
        <w:spacing w:after="120"/>
        <w:ind w:firstLine="567"/>
        <w:jc w:val="both"/>
      </w:pPr>
      <w:r>
        <w:rPr>
          <w:rFonts w:ascii="Arial" w:cs="Arial" w:eastAsia="Arial" w:hAnsi="Arial"/>
          <w:sz w:val="24"/>
          <w:szCs w:val="24"/>
        </w:rPr>
        <w:t xml:space="preserve">1) финансирование экономических проектов посредством бюджетного кредитования, осуществляемого уполномоченным агентом на условиях срочности, платности, обеспеченности и возвратности;</w:t>
      </w:r>
    </w:p>
    <w:p>
      <w:pPr>
        <w:spacing w:after="120"/>
        <w:ind w:firstLine="567"/>
        <w:jc w:val="both"/>
      </w:pPr>
      <w:r>
        <w:rPr>
          <w:rFonts w:ascii="Arial" w:cs="Arial" w:eastAsia="Arial" w:hAnsi="Arial"/>
          <w:sz w:val="24"/>
          <w:szCs w:val="24"/>
        </w:rPr>
        <w:t xml:space="preserve">2) предоставление поручительства субъектам национальной экономики со стороны уполномоченного лица по предоставлению поручительства в целях оказания государственной поддержки для обеспечения устойчивого экономического развития регионов;</w:t>
      </w:r>
    </w:p>
    <w:p>
      <w:pPr>
        <w:spacing w:after="120"/>
        <w:ind w:firstLine="567"/>
        <w:jc w:val="both"/>
      </w:pPr>
      <w:r>
        <w:rPr>
          <w:rFonts w:ascii="Arial" w:cs="Arial" w:eastAsia="Arial" w:hAnsi="Arial"/>
          <w:sz w:val="24"/>
          <w:szCs w:val="24"/>
        </w:rPr>
        <w:t xml:space="preserve">3) реализацию экономических проектов участников Национального экономического проекта "Одно село - один продукт" и на поддержку вернувшихся мигрантов в рамках реализации программы 1+1;</w:t>
      </w:r>
    </w:p>
    <w:p>
      <w:pPr>
        <w:spacing w:after="120"/>
        <w:ind w:firstLine="567"/>
        <w:jc w:val="both"/>
      </w:pPr>
      <w:r>
        <w:rPr>
          <w:rFonts w:ascii="Arial" w:cs="Arial" w:eastAsia="Arial" w:hAnsi="Arial"/>
          <w:sz w:val="24"/>
          <w:szCs w:val="24"/>
        </w:rPr>
        <w:t xml:space="preserve">4) 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120"/>
        <w:ind w:firstLine="567"/>
        <w:jc w:val="both"/>
      </w:pPr>
      <w:r>
        <w:rPr>
          <w:rFonts w:ascii="Arial" w:cs="Arial" w:eastAsia="Arial" w:hAnsi="Arial"/>
          <w:sz w:val="24"/>
          <w:szCs w:val="24"/>
        </w:rPr>
        <w:t xml:space="preserve">5) разработку проектно-сметной документации и другой технической документации социальных и инфраструктурных, экономических проектов;</w:t>
      </w:r>
    </w:p>
    <w:p>
      <w:pPr>
        <w:spacing w:after="120"/>
        <w:ind w:firstLine="567"/>
        <w:jc w:val="both"/>
      </w:pPr>
      <w:r>
        <w:rPr>
          <w:rFonts w:ascii="Arial" w:cs="Arial" w:eastAsia="Arial" w:hAnsi="Arial"/>
          <w:sz w:val="24"/>
          <w:szCs w:val="24"/>
        </w:rPr>
        <w:t xml:space="preserve">6)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120"/>
        <w:ind w:firstLine="567"/>
        <w:jc w:val="both"/>
      </w:pPr>
      <w:r>
        <w:rPr>
          <w:rFonts w:ascii="Arial" w:cs="Arial" w:eastAsia="Arial" w:hAnsi="Arial"/>
          <w:sz w:val="24"/>
          <w:szCs w:val="24"/>
        </w:rPr>
        <w:t xml:space="preserve">7) проведение мероприятий по обеспечению населения питьевым водоснабжением и системами водоотведения;</w:t>
      </w:r>
    </w:p>
    <w:p>
      <w:pPr>
        <w:spacing w:after="120"/>
        <w:ind w:firstLine="567"/>
        <w:jc w:val="both"/>
      </w:pPr>
      <w:r>
        <w:rPr>
          <w:rFonts w:ascii="Arial" w:cs="Arial" w:eastAsia="Arial" w:hAnsi="Arial"/>
          <w:sz w:val="24"/>
          <w:szCs w:val="24"/>
        </w:rPr>
        <w:t xml:space="preserve">8) ремонт и восстановление ирригационных сетей, гидротехнических объектов, находящихся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9) финансирование проектов дорожного, жилищно-коммунального хозяйства;</w:t>
      </w:r>
    </w:p>
    <w:p>
      <w:pPr>
        <w:spacing w:after="120"/>
        <w:ind w:firstLine="567"/>
        <w:jc w:val="both"/>
      </w:pPr>
      <w:r>
        <w:rPr>
          <w:rFonts w:ascii="Arial" w:cs="Arial" w:eastAsia="Arial" w:hAnsi="Arial"/>
          <w:sz w:val="24"/>
          <w:szCs w:val="24"/>
        </w:rPr>
        <w:t xml:space="preserve">10) приобретение специальной автотранспортной и иной техники для решения вопросов местного значения;</w:t>
      </w:r>
    </w:p>
    <w:p>
      <w:pPr>
        <w:spacing w:after="120"/>
        <w:ind w:firstLine="567"/>
        <w:jc w:val="both"/>
      </w:pPr>
      <w:r>
        <w:rPr>
          <w:rFonts w:ascii="Arial" w:cs="Arial" w:eastAsia="Arial" w:hAnsi="Arial"/>
          <w:sz w:val="24"/>
          <w:szCs w:val="24"/>
        </w:rPr>
        <w:t xml:space="preserve">11)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условиях срочности и возвратности посредством заключения соответствующего финансового соглашения;</w:t>
      </w:r>
    </w:p>
    <w:p>
      <w:pPr>
        <w:spacing w:after="120"/>
        <w:ind w:firstLine="567"/>
        <w:jc w:val="both"/>
      </w:pPr>
      <w:r>
        <w:rPr>
          <w:rFonts w:ascii="Arial" w:cs="Arial" w:eastAsia="Arial" w:hAnsi="Arial"/>
          <w:sz w:val="24"/>
          <w:szCs w:val="24"/>
        </w:rPr>
        <w:t xml:space="preserve">12) проведение мероприятий по благоустройству, озеленению и развитию инфраструктуры населенных пунктов, реализации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13) продвижение инновационных проектов, направленных на снижение воздействия деятельности на окружающую среду;</w:t>
      </w:r>
    </w:p>
    <w:p>
      <w:pPr>
        <w:spacing w:after="120"/>
        <w:ind w:firstLine="567"/>
        <w:jc w:val="both"/>
      </w:pPr>
      <w:r>
        <w:rPr>
          <w:rFonts w:ascii="Arial" w:cs="Arial" w:eastAsia="Arial" w:hAnsi="Arial"/>
          <w:sz w:val="24"/>
          <w:szCs w:val="24"/>
        </w:rPr>
        <w:t xml:space="preserve">14) продвижение зеленых проектов для получения дополнительного дохода для субъектов предпринимательства;</w:t>
      </w:r>
    </w:p>
    <w:p>
      <w:pPr>
        <w:spacing w:after="120"/>
        <w:ind w:firstLine="567"/>
        <w:jc w:val="both"/>
      </w:pPr>
      <w:r>
        <w:rPr>
          <w:rFonts w:ascii="Arial" w:cs="Arial" w:eastAsia="Arial" w:hAnsi="Arial"/>
          <w:sz w:val="24"/>
          <w:szCs w:val="24"/>
        </w:rPr>
        <w:t xml:space="preserve">15) разработку инновационных зеленых продуктов и услуг, включающих использование возобновляемых и чистых источников энергии, энергоэффективных технологий, управление отходами и продвижение принципов зеленой экономики;</w:t>
      </w:r>
    </w:p>
    <w:p>
      <w:pPr>
        <w:spacing w:after="120"/>
        <w:ind w:firstLine="567"/>
        <w:jc w:val="both"/>
      </w:pPr>
      <w:r>
        <w:rPr>
          <w:rFonts w:ascii="Arial" w:cs="Arial" w:eastAsia="Arial" w:hAnsi="Arial"/>
          <w:sz w:val="24"/>
          <w:szCs w:val="24"/>
        </w:rPr>
        <w:t xml:space="preserve">16) интеграцию передовых зеленых технологий/материалов и новых инновационных подходов и/или экономически эффективных технологий для сокращения выбросов парниковых газов, улучшения качества воздуха;</w:t>
      </w:r>
    </w:p>
    <w:p>
      <w:pPr>
        <w:spacing w:after="120"/>
        <w:ind w:firstLine="567"/>
        <w:jc w:val="both"/>
      </w:pPr>
      <w:r>
        <w:rPr>
          <w:rFonts w:ascii="Arial" w:cs="Arial" w:eastAsia="Arial" w:hAnsi="Arial"/>
          <w:sz w:val="24"/>
          <w:szCs w:val="24"/>
        </w:rPr>
        <w:t xml:space="preserve">17) продвижение мер по адаптации к изменению климата;</w:t>
      </w:r>
    </w:p>
    <w:p>
      <w:pPr>
        <w:spacing w:after="120"/>
        <w:ind w:firstLine="567"/>
        <w:jc w:val="both"/>
      </w:pPr>
      <w:r>
        <w:rPr>
          <w:rFonts w:ascii="Arial" w:cs="Arial" w:eastAsia="Arial" w:hAnsi="Arial"/>
          <w:sz w:val="24"/>
          <w:szCs w:val="24"/>
        </w:rPr>
        <w:t xml:space="preserve">18)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120"/>
        <w:ind w:firstLine="567"/>
        <w:jc w:val="both"/>
      </w:pPr>
      <w:r>
        <w:rPr>
          <w:rFonts w:ascii="Arial" w:cs="Arial" w:eastAsia="Arial" w:hAnsi="Arial"/>
          <w:sz w:val="24"/>
          <w:szCs w:val="24"/>
        </w:rPr>
        <w:t xml:space="preserve">19)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ind w:firstLine="567"/>
        <w:jc w:val="both"/>
      </w:pPr>
      <w:r>
        <w:rPr>
          <w:rFonts w:ascii="Arial" w:cs="Arial" w:eastAsia="Arial" w:hAnsi="Arial"/>
          <w:sz w:val="24"/>
          <w:szCs w:val="24"/>
        </w:rPr>
        <w:t xml:space="preserve">20) проведение мероприятий по предупреждению и ликвидации последствий чрезвычайных ситуаций, восстановлению гражданской инфраструктуры и материальной поддержке (обеспечение питанием и жильем, приобретение горюче-смазочных материалов, товаров первой необходимости) пострадавшего населения от 3 до 8 процентов прогнозируемого годового бюджета Фонда согласно письменному обращению в случае ЧС территориальных подразделений уполномоченного государственного органа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p>
    <w:p>
      <w:pPr>
        <w:spacing w:after="120"/>
        <w:ind w:firstLine="567"/>
        <w:jc w:val="both"/>
      </w:pPr>
      <w:r>
        <w:rPr>
          <w:rFonts w:ascii="Arial" w:cs="Arial" w:eastAsia="Arial" w:hAnsi="Arial"/>
          <w:sz w:val="24"/>
          <w:szCs w:val="24"/>
        </w:rPr>
        <w:t xml:space="preserve">21) проведение мероприятий по предупреждению и ликвидации неблагоприятных эпидемиологических ситуаций;</w:t>
      </w:r>
    </w:p>
    <w:p>
      <w:pPr>
        <w:spacing w:after="120"/>
        <w:ind w:firstLine="567"/>
        <w:jc w:val="both"/>
      </w:pPr>
      <w:r>
        <w:rPr>
          <w:rFonts w:ascii="Arial" w:cs="Arial" w:eastAsia="Arial" w:hAnsi="Arial"/>
          <w:sz w:val="24"/>
          <w:szCs w:val="24"/>
        </w:rPr>
        <w:t xml:space="preserve">22) перечисление финансовых средств на счет областных или районных Фондов по решению Наблюдательного совета Фонда;</w:t>
      </w:r>
    </w:p>
    <w:p>
      <w:pPr>
        <w:spacing w:after="120"/>
        <w:ind w:firstLine="567"/>
        <w:jc w:val="both"/>
      </w:pPr>
      <w:r>
        <w:rPr>
          <w:rFonts w:ascii="Arial" w:cs="Arial" w:eastAsia="Arial" w:hAnsi="Arial"/>
          <w:sz w:val="24"/>
          <w:szCs w:val="24"/>
        </w:rPr>
        <w:t xml:space="preserve">23) иные направления по решению Кабинета Министров Кыргызской Республики.</w:t>
      </w:r>
    </w:p>
    <w:p>
      <w:pPr>
        <w:spacing w:after="120"/>
        <w:ind w:firstLine="567"/>
        <w:jc w:val="both"/>
      </w:pPr>
      <w:r>
        <w:rPr>
          <w:rFonts w:ascii="Arial" w:cs="Arial" w:eastAsia="Arial" w:hAnsi="Arial"/>
          <w:sz w:val="24"/>
          <w:szCs w:val="24"/>
        </w:rPr>
        <w:t xml:space="preserve">9. Из средств специального счета Фонда могут финансироваться мероприятия, направленные на:</w:t>
      </w:r>
    </w:p>
    <w:p>
      <w:pPr>
        <w:spacing w:after="120"/>
        <w:ind w:firstLine="567"/>
        <w:jc w:val="both"/>
      </w:pPr>
      <w:r>
        <w:rPr>
          <w:rFonts w:ascii="Arial" w:cs="Arial" w:eastAsia="Arial" w:hAnsi="Arial"/>
          <w:sz w:val="24"/>
          <w:szCs w:val="24"/>
        </w:rPr>
        <w:t xml:space="preserve">1) укрепление материально-технической базы и поддержку деятельности в сфере обороны и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 государственных органов;</w:t>
      </w:r>
    </w:p>
    <w:p>
      <w:pPr>
        <w:spacing w:after="120"/>
        <w:ind w:firstLine="567"/>
        <w:jc w:val="both"/>
      </w:pPr>
      <w:r>
        <w:rPr>
          <w:rFonts w:ascii="Arial" w:cs="Arial" w:eastAsia="Arial" w:hAnsi="Arial"/>
          <w:sz w:val="24"/>
          <w:szCs w:val="24"/>
        </w:rPr>
        <w:t xml:space="preserve">2) поддержку одаренных детей и талантов для участия в мероприятиях (образовательных, культурных, музыкальных, спортивных), создания для них условий обучения в образовательных учреждениях, социально уязвимых слоев населения, граждан, попавших в трудную жизненную ситуацию;</w:t>
      </w:r>
    </w:p>
    <w:p>
      <w:pPr>
        <w:spacing w:after="120"/>
        <w:ind w:firstLine="567"/>
        <w:jc w:val="both"/>
      </w:pPr>
      <w:r>
        <w:rPr>
          <w:rFonts w:ascii="Arial" w:cs="Arial" w:eastAsia="Arial" w:hAnsi="Arial"/>
          <w:sz w:val="24"/>
          <w:szCs w:val="24"/>
        </w:rPr>
        <w:t xml:space="preserve">3) осуществление ваучерного механизма финансирования обучения граждан Кыргызской Республики в учебных заведениях Кыргызской Республики;</w:t>
      </w:r>
    </w:p>
    <w:p>
      <w:pPr>
        <w:spacing w:after="120"/>
        <w:ind w:firstLine="567"/>
        <w:jc w:val="both"/>
      </w:pPr>
      <w:r>
        <w:rPr>
          <w:rFonts w:ascii="Arial" w:cs="Arial" w:eastAsia="Arial" w:hAnsi="Arial"/>
          <w:sz w:val="24"/>
          <w:szCs w:val="24"/>
        </w:rPr>
        <w:t xml:space="preserve">4) финансирование предпринимательской деятельности малоимущих семей, получивших социальную помощь в рамках социального контракта в размере до 50 процентов от полученной суммы на основании заявки.</w:t>
      </w:r>
    </w:p>
    <w:p>
      <w:pPr>
        <w:spacing w:after="120"/>
        <w:ind w:firstLine="567"/>
        <w:jc w:val="both"/>
      </w:pPr>
      <w:r>
        <w:rPr>
          <w:rFonts w:ascii="Arial" w:cs="Arial" w:eastAsia="Arial" w:hAnsi="Arial"/>
          <w:sz w:val="24"/>
          <w:szCs w:val="24"/>
        </w:rPr>
        <w:t xml:space="preserve">Не допускается использование средств Фонда на проведение мероприятий, не предусмотренных настоящим Типовым положением.</w:t>
      </w:r>
    </w:p>
    <w:p>
      <w:pPr>
        <w:spacing w:after="120"/>
        <w:ind w:firstLine="567"/>
        <w:jc w:val="both"/>
      </w:pPr>
      <w:r>
        <w:rPr>
          <w:rFonts w:ascii="Arial" w:cs="Arial" w:eastAsia="Arial" w:hAnsi="Arial"/>
          <w:sz w:val="24"/>
          <w:szCs w:val="24"/>
        </w:rPr>
        <w:t xml:space="preserve">10. 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120"/>
        <w:ind w:firstLine="567"/>
        <w:jc w:val="both"/>
      </w:pPr>
      <w:r>
        <w:rPr>
          <w:rFonts w:ascii="Arial" w:cs="Arial" w:eastAsia="Arial" w:hAnsi="Arial"/>
          <w:sz w:val="24"/>
          <w:szCs w:val="24"/>
        </w:rPr>
        <w:t xml:space="preserve">При этом ОАО "ГИК" направляет письменное обращение в исполнительный орган Фонда с приложением соответствующих документов для дальнейшего рассмотрения Наблюдательным советом Фонда.</w:t>
      </w:r>
    </w:p>
    <w:p>
      <w:pPr>
        <w:spacing w:after="120"/>
        <w:ind w:firstLine="567"/>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 возврата средств Фонда, обязанности дополнительных сторон, участвующих в реализации проекта, определяются соответствующим финансовым соглашением.</w:t>
      </w:r>
    </w:p>
    <w:p>
      <w:pPr>
        <w:spacing w:after="120"/>
        <w:ind w:firstLine="567"/>
        <w:jc w:val="both"/>
      </w:pPr>
      <w:r>
        <w:rPr>
          <w:rFonts w:ascii="Arial" w:cs="Arial" w:eastAsia="Arial" w:hAnsi="Arial"/>
          <w:sz w:val="24"/>
          <w:szCs w:val="24"/>
        </w:rPr>
        <w:t xml:space="preserve">11. Прогнозируемый годовой бюджет Фондов на бюджетных и специальных счетах подлежат распределению в обязательном порядке по следующим категориям расходов:</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
        <w:gridCol w:w="4110"/>
        <w:gridCol w:w="5774"/>
      </w:tblGrid>
      <w:tr>
        <w:tc>
          <w:tcPr>
            <w:tcW w:type="dxa" w:w="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1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категорий расходов Фонда</w:t>
            </w:r>
          </w:p>
        </w:tc>
        <w:tc>
          <w:tcPr>
            <w:tcW w:type="dxa" w:w="57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Прогнозируемый годовой бюджет Фонда, %</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исполнительного органа Фонда</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 не менее 50% средств годового бюджета Фонда направляются на цели бюджетного кредитования, из них, не менее 5000000 (пять миллионов) сомов направляются на развитие сельскохозяйственного сектора</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 и проекты, выдвинутые в рамках государственного субсидирования местных общественных инициатив</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предупреждению и ликвидации чрезвычайных ситуаций</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n5
 (в пределах 3-8%)</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7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n1 + n2 + n3 + n4 + n5 = 100%</w:t>
            </w:r>
          </w:p>
        </w:tc>
      </w:tr>
    </w:tbl>
    <w:p>
      <w:pPr>
        <w:spacing w:after="120" w:before="120"/>
        <w:ind w:firstLine="567"/>
        <w:jc w:val="both"/>
      </w:pPr>
      <w:r>
        <w:rPr>
          <w:rFonts w:ascii="Arial" w:cs="Arial" w:eastAsia="Arial" w:hAnsi="Arial"/>
          <w:sz w:val="24"/>
          <w:szCs w:val="24"/>
        </w:rPr>
        <w:t xml:space="preserve">По каждой категории расходов средств Фонда процент от общей суммы прогнозируемого годового бюджета Фонда определяется и утверждается решением Наблюдательного совета Фонда не позднее 30 января текущего года.</w:t>
      </w:r>
    </w:p>
    <w:p>
      <w:pPr>
        <w:spacing w:after="240" w:before="200"/>
        <w:jc w:val="center"/>
      </w:pPr>
      <w:r>
        <w:rPr>
          <w:rFonts w:ascii="Arial" w:cs="Arial" w:eastAsia="Arial" w:hAnsi="Arial"/>
          <w:b/>
          <w:bCs/>
          <w:sz w:val="32"/>
          <w:szCs w:val="32"/>
        </w:rPr>
        <w:t xml:space="preserve">Глава 4. Органы управления финансовыми средствами Фонда</w:t>
      </w:r>
    </w:p>
    <w:p>
      <w:pPr>
        <w:spacing w:after="120"/>
        <w:ind w:firstLine="567"/>
        <w:jc w:val="both"/>
      </w:pPr>
      <w:r>
        <w:rPr>
          <w:rFonts w:ascii="Arial" w:cs="Arial" w:eastAsia="Arial" w:hAnsi="Arial"/>
          <w:sz w:val="24"/>
          <w:szCs w:val="24"/>
        </w:rPr>
        <w:t xml:space="preserve">12. Органами управления финансовыми средствами Фонда являются:</w:t>
      </w:r>
    </w:p>
    <w:p>
      <w:pPr>
        <w:spacing w:after="12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120"/>
        <w:ind w:firstLine="567"/>
        <w:jc w:val="both"/>
      </w:pPr>
      <w:r>
        <w:rPr>
          <w:rFonts w:ascii="Arial" w:cs="Arial" w:eastAsia="Arial" w:hAnsi="Arial"/>
          <w:sz w:val="24"/>
          <w:szCs w:val="24"/>
        </w:rPr>
        <w:t xml:space="preserve">2) исполнительный орган - территориальные подразделения уполномоченного государственного органа по прогнозированию и исполнению бюджета (далее - исполнительный орган Фонда).</w:t>
      </w:r>
    </w:p>
    <w:p>
      <w:pPr>
        <w:spacing w:after="240" w:before="200"/>
        <w:jc w:val="center"/>
      </w:pPr>
      <w:r>
        <w:rPr>
          <w:rFonts w:ascii="Arial" w:cs="Arial" w:eastAsia="Arial" w:hAnsi="Arial"/>
          <w:b/>
          <w:bCs/>
          <w:sz w:val="32"/>
          <w:szCs w:val="32"/>
        </w:rPr>
        <w:t xml:space="preserve">§ 1. Полномочия Наблюдательного совета Фонда</w:t>
      </w:r>
    </w:p>
    <w:p>
      <w:pPr>
        <w:spacing w:after="120"/>
        <w:ind w:firstLine="567"/>
        <w:jc w:val="both"/>
      </w:pPr>
      <w:r>
        <w:rPr>
          <w:rFonts w:ascii="Arial" w:cs="Arial" w:eastAsia="Arial" w:hAnsi="Arial"/>
          <w:sz w:val="24"/>
          <w:szCs w:val="24"/>
        </w:rPr>
        <w:t xml:space="preserve">13. Полномочиями Наблюдательного совета Фонда являются:</w:t>
      </w:r>
    </w:p>
    <w:p>
      <w:pPr>
        <w:spacing w:after="120"/>
        <w:ind w:firstLine="567"/>
        <w:jc w:val="both"/>
      </w:pPr>
      <w:r>
        <w:rPr>
          <w:rFonts w:ascii="Arial" w:cs="Arial" w:eastAsia="Arial" w:hAnsi="Arial"/>
          <w:sz w:val="24"/>
          <w:szCs w:val="24"/>
        </w:rPr>
        <w:t xml:space="preserve">1) рассмотрение и утверждение основных направлений и приоритетов использования средств Фонда;</w:t>
      </w:r>
    </w:p>
    <w:p>
      <w:pPr>
        <w:spacing w:after="120"/>
        <w:ind w:firstLine="567"/>
        <w:jc w:val="both"/>
      </w:pPr>
      <w:r>
        <w:rPr>
          <w:rFonts w:ascii="Arial" w:cs="Arial" w:eastAsia="Arial" w:hAnsi="Arial"/>
          <w:sz w:val="24"/>
          <w:szCs w:val="24"/>
        </w:rPr>
        <w:t xml:space="preserve">2) отбор и утверждение проектов;</w:t>
      </w:r>
    </w:p>
    <w:p>
      <w:pPr>
        <w:spacing w:after="120"/>
        <w:ind w:firstLine="567"/>
        <w:jc w:val="both"/>
      </w:pPr>
      <w:r>
        <w:rPr>
          <w:rFonts w:ascii="Arial" w:cs="Arial" w:eastAsia="Arial" w:hAnsi="Arial"/>
          <w:sz w:val="24"/>
          <w:szCs w:val="24"/>
        </w:rPr>
        <w:t xml:space="preserve">3) отбор субъектов для предоставления поручительства в соответствии с Порядком предоставления поручительства субъектам национальной экономики, утвержденным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4) принятие решения о заключении или расторжении финансового соглашения между исполнительным органом Фонда и ОАО "ГИК" о получении денежных средств Фонда для реализации проектов по жилищному обеспечению граждан Кыргызской Республики;</w:t>
      </w:r>
    </w:p>
    <w:p>
      <w:pPr>
        <w:spacing w:after="120"/>
        <w:ind w:firstLine="567"/>
        <w:jc w:val="both"/>
      </w:pPr>
      <w:r>
        <w:rPr>
          <w:rFonts w:ascii="Arial" w:cs="Arial" w:eastAsia="Arial" w:hAnsi="Arial"/>
          <w:sz w:val="24"/>
          <w:szCs w:val="24"/>
        </w:rPr>
        <w:t xml:space="preserve">5) принятие решения о проведении аудита использования средств Фонда;</w:t>
      </w:r>
    </w:p>
    <w:p>
      <w:pPr>
        <w:spacing w:after="120"/>
        <w:ind w:firstLine="567"/>
        <w:jc w:val="both"/>
      </w:pPr>
      <w:r>
        <w:rPr>
          <w:rFonts w:ascii="Arial" w:cs="Arial" w:eastAsia="Arial" w:hAnsi="Arial"/>
          <w:sz w:val="24"/>
          <w:szCs w:val="24"/>
        </w:rPr>
        <w:t xml:space="preserve">6) утверждение порядка подачи, рассмотрения и принятия решений по претензиям участников конкурсного отбора;</w:t>
      </w:r>
    </w:p>
    <w:p>
      <w:pPr>
        <w:spacing w:after="120"/>
        <w:ind w:firstLine="567"/>
        <w:jc w:val="both"/>
      </w:pPr>
      <w:r>
        <w:rPr>
          <w:rFonts w:ascii="Arial" w:cs="Arial" w:eastAsia="Arial" w:hAnsi="Arial"/>
          <w:sz w:val="24"/>
          <w:szCs w:val="24"/>
        </w:rPr>
        <w:t xml:space="preserve">7) рассмотрение жалоб и заявлений участников конкурсного отбора;</w:t>
      </w:r>
    </w:p>
    <w:p>
      <w:pPr>
        <w:spacing w:after="120"/>
        <w:ind w:firstLine="567"/>
        <w:jc w:val="both"/>
      </w:pPr>
      <w:r>
        <w:rPr>
          <w:rFonts w:ascii="Arial" w:cs="Arial" w:eastAsia="Arial" w:hAnsi="Arial"/>
          <w:sz w:val="24"/>
          <w:szCs w:val="24"/>
        </w:rPr>
        <w:t xml:space="preserve">8)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120"/>
        <w:ind w:firstLine="567"/>
        <w:jc w:val="both"/>
      </w:pPr>
      <w:r>
        <w:rPr>
          <w:rFonts w:ascii="Arial" w:cs="Arial" w:eastAsia="Arial" w:hAnsi="Arial"/>
          <w:sz w:val="24"/>
          <w:szCs w:val="24"/>
        </w:rPr>
        <w:t xml:space="preserve">9) утверждение методики проведения мониторинга и оценки эффективности использования средств Фонда;</w:t>
      </w:r>
    </w:p>
    <w:p>
      <w:pPr>
        <w:spacing w:after="120"/>
        <w:ind w:firstLine="567"/>
        <w:jc w:val="both"/>
      </w:pPr>
      <w:r>
        <w:rPr>
          <w:rFonts w:ascii="Arial" w:cs="Arial" w:eastAsia="Arial" w:hAnsi="Arial"/>
          <w:sz w:val="24"/>
          <w:szCs w:val="24"/>
        </w:rPr>
        <w:t xml:space="preserve">10) рассмотрение, утверждение состава группы для проведения мониторинга и оценки эффективности использования средств Фонда и заслушивание отчета мониторинговой группы;</w:t>
      </w:r>
    </w:p>
    <w:p>
      <w:pPr>
        <w:spacing w:after="120"/>
        <w:ind w:firstLine="567"/>
        <w:jc w:val="both"/>
      </w:pPr>
      <w:r>
        <w:rPr>
          <w:rFonts w:ascii="Arial" w:cs="Arial" w:eastAsia="Arial" w:hAnsi="Arial"/>
          <w:sz w:val="24"/>
          <w:szCs w:val="24"/>
        </w:rPr>
        <w:t xml:space="preserve">11) принятие решения о реализации проекта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закупках";</w:t>
      </w:r>
    </w:p>
    <w:p>
      <w:pPr>
        <w:spacing w:after="120"/>
        <w:ind w:firstLine="567"/>
        <w:jc w:val="both"/>
      </w:pPr>
      <w:r>
        <w:rPr>
          <w:rFonts w:ascii="Arial" w:cs="Arial" w:eastAsia="Arial" w:hAnsi="Arial"/>
          <w:sz w:val="24"/>
          <w:szCs w:val="24"/>
        </w:rPr>
        <w:t xml:space="preserve">12) осуществление контроля за целевым использованием денежных средств Фонда;</w:t>
      </w:r>
    </w:p>
    <w:p>
      <w:pPr>
        <w:spacing w:after="120"/>
        <w:ind w:firstLine="567"/>
        <w:jc w:val="both"/>
      </w:pPr>
      <w:r>
        <w:rPr>
          <w:rFonts w:ascii="Arial" w:cs="Arial" w:eastAsia="Arial" w:hAnsi="Arial"/>
          <w:sz w:val="24"/>
          <w:szCs w:val="24"/>
        </w:rPr>
        <w:t xml:space="preserve">13) заслушивание и утверждение отчета исполнительного органа Фонда об использовании средств фонда на бюджетных и специальных счетах.</w:t>
      </w:r>
    </w:p>
    <w:p>
      <w:pPr>
        <w:spacing w:after="120"/>
        <w:ind w:firstLine="567"/>
        <w:jc w:val="both"/>
      </w:pPr>
      <w:r>
        <w:rPr>
          <w:rFonts w:ascii="Arial" w:cs="Arial" w:eastAsia="Arial" w:hAnsi="Arial"/>
          <w:sz w:val="24"/>
          <w:szCs w:val="24"/>
        </w:rPr>
        <w:t xml:space="preserve">14. Наблюдательный совет Фонда для осуществления возложенных на него полномочий имеет право:</w:t>
      </w:r>
    </w:p>
    <w:p>
      <w:pPr>
        <w:spacing w:after="12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исполнительного органа Фонда и мониторинговой группы Фонда;</w:t>
      </w:r>
    </w:p>
    <w:p>
      <w:pPr>
        <w:spacing w:after="120"/>
        <w:ind w:firstLine="567"/>
        <w:jc w:val="both"/>
      </w:pPr>
      <w:r>
        <w:rPr>
          <w:rFonts w:ascii="Arial" w:cs="Arial" w:eastAsia="Arial" w:hAnsi="Arial"/>
          <w:sz w:val="24"/>
          <w:szCs w:val="24"/>
        </w:rPr>
        <w:t xml:space="preserve">2) отправлять на доработку документы, представленные исполнительным органом и мониторинговой группой Фонда;</w:t>
      </w:r>
    </w:p>
    <w:p>
      <w:pPr>
        <w:spacing w:after="12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240" w:before="200"/>
        <w:jc w:val="center"/>
      </w:pPr>
      <w:r>
        <w:rPr>
          <w:rFonts w:ascii="Arial" w:cs="Arial" w:eastAsia="Arial" w:hAnsi="Arial"/>
          <w:b/>
          <w:bCs/>
          <w:sz w:val="32"/>
          <w:szCs w:val="32"/>
        </w:rPr>
        <w:t xml:space="preserve">§ 2. Организация деятельности Наблюдательного совета Фонда</w:t>
      </w:r>
    </w:p>
    <w:p>
      <w:pPr>
        <w:spacing w:after="120"/>
        <w:ind w:firstLine="567"/>
        <w:jc w:val="both"/>
      </w:pPr>
      <w:r>
        <w:rPr>
          <w:rFonts w:ascii="Arial" w:cs="Arial" w:eastAsia="Arial" w:hAnsi="Arial"/>
          <w:sz w:val="24"/>
          <w:szCs w:val="24"/>
        </w:rPr>
        <w:t xml:space="preserve">15. Члены Наблюдательного совета Фонда участвуют в его работе на общественных началах.</w:t>
      </w:r>
    </w:p>
    <w:p>
      <w:pPr>
        <w:spacing w:after="120"/>
        <w:ind w:firstLine="567"/>
        <w:jc w:val="both"/>
      </w:pPr>
      <w:r>
        <w:rPr>
          <w:rFonts w:ascii="Arial" w:cs="Arial" w:eastAsia="Arial" w:hAnsi="Arial"/>
          <w:sz w:val="24"/>
          <w:szCs w:val="24"/>
        </w:rPr>
        <w:t xml:space="preserve">16.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ind w:firstLine="567"/>
        <w:jc w:val="both"/>
      </w:pPr>
      <w:r>
        <w:rPr>
          <w:rFonts w:ascii="Arial" w:cs="Arial" w:eastAsia="Arial" w:hAnsi="Arial"/>
          <w:sz w:val="24"/>
          <w:szCs w:val="24"/>
        </w:rPr>
        <w:t xml:space="preserve">17.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фамилии, имени, отчества, должности представителя, а также причины в случае замены.</w:t>
      </w:r>
    </w:p>
    <w:p>
      <w:pPr>
        <w:spacing w:after="120"/>
        <w:ind w:firstLine="567"/>
        <w:jc w:val="both"/>
      </w:pPr>
      <w:r>
        <w:rPr>
          <w:rFonts w:ascii="Arial" w:cs="Arial" w:eastAsia="Arial" w:hAnsi="Arial"/>
          <w:sz w:val="24"/>
          <w:szCs w:val="24"/>
        </w:rPr>
        <w:t xml:space="preserve">18. Число членов Наблюдательного совета Фонда составляет не менее 9 человек.</w:t>
      </w:r>
    </w:p>
    <w:p>
      <w:pPr>
        <w:spacing w:after="120"/>
        <w:ind w:firstLine="567"/>
        <w:jc w:val="both"/>
      </w:pPr>
      <w:r>
        <w:rPr>
          <w:rFonts w:ascii="Arial" w:cs="Arial" w:eastAsia="Arial" w:hAnsi="Arial"/>
          <w:sz w:val="24"/>
          <w:szCs w:val="24"/>
        </w:rPr>
        <w:t xml:space="preserve">19. В состав Наблюдательного совета Фонда развития области входят:</w:t>
      </w:r>
    </w:p>
    <w:p>
      <w:pPr>
        <w:spacing w:after="12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по экономическому прогнозированию;</w:t>
      </w:r>
    </w:p>
    <w:p>
      <w:pPr>
        <w:spacing w:after="12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области охраны окружающей среды;</w:t>
      </w:r>
    </w:p>
    <w:p>
      <w:pPr>
        <w:spacing w:after="12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процентов от общего числа членов Наблюдательного совета Фонда;</w:t>
      </w:r>
    </w:p>
    <w:p>
      <w:pPr>
        <w:spacing w:after="120"/>
        <w:ind w:firstLine="567"/>
        <w:jc w:val="both"/>
      </w:pPr>
      <w:r>
        <w:rPr>
          <w:rFonts w:ascii="Arial" w:cs="Arial" w:eastAsia="Arial" w:hAnsi="Arial"/>
          <w:sz w:val="24"/>
          <w:szCs w:val="24"/>
        </w:rPr>
        <w:t xml:space="preserve">8) 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567"/>
        <w:jc w:val="both"/>
      </w:pPr>
      <w:r>
        <w:rPr>
          <w:rFonts w:ascii="Arial" w:cs="Arial" w:eastAsia="Arial" w:hAnsi="Arial"/>
          <w:sz w:val="24"/>
          <w:szCs w:val="24"/>
        </w:rPr>
        <w:t xml:space="preserve">20. В состав Наблюдательного совета Фондов развития района входят:</w:t>
      </w:r>
    </w:p>
    <w:p>
      <w:pPr>
        <w:spacing w:after="120"/>
        <w:ind w:firstLine="567"/>
        <w:jc w:val="both"/>
      </w:pPr>
      <w:r>
        <w:rPr>
          <w:rFonts w:ascii="Arial" w:cs="Arial" w:eastAsia="Arial" w:hAnsi="Arial"/>
          <w:sz w:val="24"/>
          <w:szCs w:val="24"/>
        </w:rPr>
        <w:t xml:space="preserve">1) глава местной государственной администрации;</w:t>
      </w:r>
    </w:p>
    <w:p>
      <w:pPr>
        <w:spacing w:after="12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567"/>
        <w:jc w:val="both"/>
      </w:pPr>
      <w:r>
        <w:rPr>
          <w:rFonts w:ascii="Arial" w:cs="Arial" w:eastAsia="Arial" w:hAnsi="Arial"/>
          <w:sz w:val="24"/>
          <w:szCs w:val="24"/>
        </w:rPr>
        <w:t xml:space="preserve">3) представитель структурного подразделения местной государственной администрации района в сфере экономики;</w:t>
      </w:r>
    </w:p>
    <w:p>
      <w:pPr>
        <w:spacing w:after="12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сфере агропромышленного комплекса;</w:t>
      </w:r>
    </w:p>
    <w:p>
      <w:pPr>
        <w:spacing w:after="12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процентов от общего числа членов Наблюдательного совета Фонда;</w:t>
      </w:r>
    </w:p>
    <w:p>
      <w:pPr>
        <w:spacing w:after="120"/>
        <w:ind w:firstLine="567"/>
        <w:jc w:val="both"/>
      </w:pPr>
      <w:r>
        <w:rPr>
          <w:rFonts w:ascii="Arial" w:cs="Arial" w:eastAsia="Arial" w:hAnsi="Arial"/>
          <w:sz w:val="24"/>
          <w:szCs w:val="24"/>
        </w:rPr>
        <w:t xml:space="preserve">8) 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567"/>
        <w:jc w:val="both"/>
      </w:pPr>
      <w:r>
        <w:rPr>
          <w:rFonts w:ascii="Arial" w:cs="Arial" w:eastAsia="Arial" w:hAnsi="Arial"/>
          <w:sz w:val="24"/>
          <w:szCs w:val="24"/>
        </w:rPr>
        <w:t xml:space="preserve">21.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22. Председателем Наблюдательного совета Фонда развития района является глава местной государственной администрации.</w:t>
      </w:r>
    </w:p>
    <w:p>
      <w:pPr>
        <w:spacing w:after="120"/>
        <w:ind w:firstLine="567"/>
        <w:jc w:val="both"/>
      </w:pPr>
      <w:r>
        <w:rPr>
          <w:rFonts w:ascii="Arial" w:cs="Arial" w:eastAsia="Arial" w:hAnsi="Arial"/>
          <w:sz w:val="24"/>
          <w:szCs w:val="24"/>
        </w:rPr>
        <w:t xml:space="preserve">23. Состав Наблюдательного совета Фонда развития области утверждается решением полномочного представителя Президента Кыргызской Республики в области на срок не менее 3 лет.</w:t>
      </w:r>
    </w:p>
    <w:p>
      <w:pPr>
        <w:spacing w:after="120"/>
        <w:ind w:firstLine="567"/>
        <w:jc w:val="both"/>
      </w:pPr>
      <w:r>
        <w:rPr>
          <w:rFonts w:ascii="Arial" w:cs="Arial" w:eastAsia="Arial" w:hAnsi="Arial"/>
          <w:sz w:val="24"/>
          <w:szCs w:val="24"/>
        </w:rPr>
        <w:t xml:space="preserve">Состав Наблюдательного совета Фонда развития района утверждается решением главы местной государственной администрации на срок не менее 3 лет.</w:t>
      </w:r>
    </w:p>
    <w:p>
      <w:pPr>
        <w:spacing w:after="120"/>
        <w:ind w:firstLine="567"/>
        <w:jc w:val="both"/>
      </w:pPr>
      <w:r>
        <w:rPr>
          <w:rFonts w:ascii="Arial" w:cs="Arial" w:eastAsia="Arial" w:hAnsi="Arial"/>
          <w:sz w:val="24"/>
          <w:szCs w:val="24"/>
        </w:rPr>
        <w:t xml:space="preserve">24. Члены Наблюдательного совета Фонда несут персональную ответственность за принимаемые Наблюдательным советом Фонда решения по отбору, оценке, утверждению проектов и предоставлению поручительств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25. Заседания Наблюдательного совета Фонда созываются по мере необходимости.</w:t>
      </w:r>
    </w:p>
    <w:p>
      <w:pPr>
        <w:spacing w:after="120"/>
        <w:ind w:firstLine="567"/>
        <w:jc w:val="both"/>
      </w:pPr>
      <w:r>
        <w:rPr>
          <w:rFonts w:ascii="Arial" w:cs="Arial" w:eastAsia="Arial" w:hAnsi="Arial"/>
          <w:sz w:val="24"/>
          <w:szCs w:val="24"/>
        </w:rPr>
        <w:t xml:space="preserve">26. Заседание Наблюдательного совета Фонда считается правомочным, если на нем присутствует не менее половины его состава.</w:t>
      </w:r>
    </w:p>
    <w:p>
      <w:pPr>
        <w:spacing w:after="120"/>
        <w:ind w:firstLine="567"/>
        <w:jc w:val="both"/>
      </w:pPr>
      <w:r>
        <w:rPr>
          <w:rFonts w:ascii="Arial" w:cs="Arial" w:eastAsia="Arial" w:hAnsi="Arial"/>
          <w:sz w:val="24"/>
          <w:szCs w:val="24"/>
        </w:rPr>
        <w:t xml:space="preserve">27.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120"/>
        <w:ind w:firstLine="567"/>
        <w:jc w:val="both"/>
      </w:pPr>
      <w:r>
        <w:rPr>
          <w:rFonts w:ascii="Arial" w:cs="Arial" w:eastAsia="Arial" w:hAnsi="Arial"/>
          <w:sz w:val="24"/>
          <w:szCs w:val="24"/>
        </w:rPr>
        <w:t xml:space="preserve">28. Заседания Наблюдательного совета Фонда протоколируются секретарем Наблюдательного совета Фонда, являющимся сотрудником Исполнительного органа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и секретарем. Оригиналы протоколов хранятся в исполнительном органе Фонда.</w:t>
      </w:r>
    </w:p>
    <w:p>
      <w:pPr>
        <w:spacing w:after="120"/>
        <w:ind w:firstLine="567"/>
        <w:jc w:val="both"/>
      </w:pPr>
      <w:r>
        <w:rPr>
          <w:rFonts w:ascii="Arial" w:cs="Arial" w:eastAsia="Arial" w:hAnsi="Arial"/>
          <w:sz w:val="24"/>
          <w:szCs w:val="24"/>
        </w:rPr>
        <w:t xml:space="preserve">29.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ind w:firstLine="567"/>
        <w:jc w:val="both"/>
      </w:pPr>
      <w:r>
        <w:rPr>
          <w:rFonts w:ascii="Arial" w:cs="Arial" w:eastAsia="Arial" w:hAnsi="Arial"/>
          <w:sz w:val="24"/>
          <w:szCs w:val="24"/>
        </w:rPr>
        <w:t xml:space="preserve">30.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ind w:firstLine="567"/>
        <w:jc w:val="both"/>
      </w:pPr>
      <w:r>
        <w:rPr>
          <w:rFonts w:ascii="Arial" w:cs="Arial" w:eastAsia="Arial" w:hAnsi="Arial"/>
          <w:sz w:val="24"/>
          <w:szCs w:val="24"/>
        </w:rPr>
        <w:t xml:space="preserve">31. Информация о созыве заседания Наблюдательного совета Фонда с указанием повестки дня, времени и места проведения должна быть доведена исполнительным органом Фонда до сведения членов Наблюдательного совета Фонда не позднее чем за десять календарных дней до даты проведения заседания.</w:t>
      </w:r>
    </w:p>
    <w:p>
      <w:pPr>
        <w:spacing w:after="120"/>
        <w:ind w:firstLine="567"/>
        <w:jc w:val="both"/>
      </w:pPr>
      <w:r>
        <w:rPr>
          <w:rFonts w:ascii="Arial" w:cs="Arial" w:eastAsia="Arial" w:hAnsi="Arial"/>
          <w:sz w:val="24"/>
          <w:szCs w:val="24"/>
        </w:rPr>
        <w:t xml:space="preserve">32.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административных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ind w:firstLine="567"/>
        <w:jc w:val="both"/>
      </w:pPr>
      <w:r>
        <w:rPr>
          <w:rFonts w:ascii="Arial" w:cs="Arial" w:eastAsia="Arial" w:hAnsi="Arial"/>
          <w:sz w:val="24"/>
          <w:szCs w:val="24"/>
        </w:rPr>
        <w:t xml:space="preserve">33. Допускается проведение заседаний Наблюдательного совета Фонда путем использования системы видеоконференцсвязи.</w:t>
      </w:r>
    </w:p>
    <w:p>
      <w:pPr>
        <w:spacing w:after="240" w:before="200"/>
        <w:jc w:val="center"/>
      </w:pPr>
      <w:r>
        <w:rPr>
          <w:rFonts w:ascii="Arial" w:cs="Arial" w:eastAsia="Arial" w:hAnsi="Arial"/>
          <w:b/>
          <w:bCs/>
          <w:sz w:val="32"/>
          <w:szCs w:val="32"/>
        </w:rPr>
        <w:t xml:space="preserve">§ 3. Исполнительный орган Фонда</w:t>
      </w:r>
    </w:p>
    <w:p>
      <w:pPr>
        <w:spacing w:after="120"/>
        <w:ind w:firstLine="567"/>
        <w:jc w:val="both"/>
      </w:pPr>
      <w:r>
        <w:rPr>
          <w:rFonts w:ascii="Arial" w:cs="Arial" w:eastAsia="Arial" w:hAnsi="Arial"/>
          <w:sz w:val="24"/>
          <w:szCs w:val="24"/>
        </w:rPr>
        <w:t xml:space="preserve">34. Исполнительный орган Фонда обеспечивает надлежащее исполнение решений Наблюдательного совета Фонда по вопросам финансирования и реализации проектов.</w:t>
      </w:r>
    </w:p>
    <w:p>
      <w:pPr>
        <w:spacing w:after="120"/>
        <w:ind w:firstLine="567"/>
        <w:jc w:val="both"/>
      </w:pPr>
      <w:r>
        <w:rPr>
          <w:rFonts w:ascii="Arial" w:cs="Arial" w:eastAsia="Arial" w:hAnsi="Arial"/>
          <w:sz w:val="24"/>
          <w:szCs w:val="24"/>
        </w:rPr>
        <w:t xml:space="preserve">35. Исполнительный орган Фонда:</w:t>
      </w:r>
    </w:p>
    <w:p>
      <w:pPr>
        <w:spacing w:after="12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w:t>
      </w:r>
    </w:p>
    <w:p>
      <w:pPr>
        <w:spacing w:after="120"/>
        <w:ind w:firstLine="567"/>
        <w:jc w:val="both"/>
      </w:pPr>
      <w:r>
        <w:rPr>
          <w:rFonts w:ascii="Arial" w:cs="Arial" w:eastAsia="Arial" w:hAnsi="Arial"/>
          <w:sz w:val="24"/>
          <w:szCs w:val="24"/>
        </w:rPr>
        <w:t xml:space="preserve">2) несет дисциплинарную ответственность за неисполнение или ненадлежащее исполнение обязанностей, связанных с финансированием и реализацией проектов, за исключением экономических проектов;</w:t>
      </w:r>
    </w:p>
    <w:p>
      <w:pPr>
        <w:spacing w:after="120"/>
        <w:ind w:firstLine="567"/>
        <w:jc w:val="both"/>
      </w:pPr>
      <w:r>
        <w:rPr>
          <w:rFonts w:ascii="Arial" w:cs="Arial" w:eastAsia="Arial" w:hAnsi="Arial"/>
          <w:sz w:val="24"/>
          <w:szCs w:val="24"/>
        </w:rPr>
        <w:t xml:space="preserve">3) по запросу членов Наблюдательного совета Фонда предоставляет информацию об использовании средств Фонда;</w:t>
      </w:r>
    </w:p>
    <w:p>
      <w:pPr>
        <w:spacing w:after="120"/>
        <w:ind w:firstLine="567"/>
        <w:jc w:val="both"/>
      </w:pPr>
      <w:r>
        <w:rPr>
          <w:rFonts w:ascii="Arial" w:cs="Arial" w:eastAsia="Arial" w:hAnsi="Arial"/>
          <w:sz w:val="24"/>
          <w:szCs w:val="24"/>
        </w:rPr>
        <w:t xml:space="preserve">4) открывает бюджетный и специальный счета Фонда в системе казначейства;</w:t>
      </w:r>
    </w:p>
    <w:p>
      <w:pPr>
        <w:spacing w:after="120"/>
        <w:ind w:firstLine="567"/>
        <w:jc w:val="both"/>
      </w:pPr>
      <w:r>
        <w:rPr>
          <w:rFonts w:ascii="Arial" w:cs="Arial" w:eastAsia="Arial" w:hAnsi="Arial"/>
          <w:sz w:val="24"/>
          <w:szCs w:val="24"/>
        </w:rPr>
        <w:t xml:space="preserve">5) проводит предварительный отбор проектов, поступивших от заявителей на предмет полноты представленных документов;</w:t>
      </w:r>
    </w:p>
    <w:p>
      <w:pPr>
        <w:spacing w:after="120"/>
        <w:ind w:firstLine="567"/>
        <w:jc w:val="both"/>
      </w:pPr>
      <w:r>
        <w:rPr>
          <w:rFonts w:ascii="Arial" w:cs="Arial" w:eastAsia="Arial" w:hAnsi="Arial"/>
          <w:sz w:val="24"/>
          <w:szCs w:val="24"/>
        </w:rPr>
        <w:t xml:space="preserve">6) 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120"/>
        <w:ind w:firstLine="567"/>
        <w:jc w:val="both"/>
      </w:pPr>
      <w:r>
        <w:rPr>
          <w:rFonts w:ascii="Arial" w:cs="Arial" w:eastAsia="Arial" w:hAnsi="Arial"/>
          <w:sz w:val="24"/>
          <w:szCs w:val="24"/>
        </w:rPr>
        <w:t xml:space="preserve">7) приостанавливает финансирование в случаях нарушения исполнителем проекта условий договора или процедур реализации проекта;</w:t>
      </w:r>
    </w:p>
    <w:p>
      <w:pPr>
        <w:spacing w:after="120"/>
        <w:ind w:firstLine="567"/>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9) по решению Наблюдательного совета Фонда нанимает консультантов для осуществления мониторинга эффективности реализации проектов, отобранных Наблюдательным советом Фонда;</w:t>
      </w:r>
    </w:p>
    <w:p>
      <w:pPr>
        <w:spacing w:after="120"/>
        <w:ind w:firstLine="567"/>
        <w:jc w:val="both"/>
      </w:pPr>
      <w:r>
        <w:rPr>
          <w:rFonts w:ascii="Arial" w:cs="Arial" w:eastAsia="Arial" w:hAnsi="Arial"/>
          <w:sz w:val="24"/>
          <w:szCs w:val="24"/>
        </w:rPr>
        <w:t xml:space="preserve">10) 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экономических проектов, а также перечень субъектов на предоставление поручительства;</w:t>
      </w:r>
    </w:p>
    <w:p>
      <w:pPr>
        <w:spacing w:after="120"/>
        <w:ind w:firstLine="567"/>
        <w:jc w:val="both"/>
      </w:pPr>
      <w:r>
        <w:rPr>
          <w:rFonts w:ascii="Arial" w:cs="Arial" w:eastAsia="Arial" w:hAnsi="Arial"/>
          <w:sz w:val="24"/>
          <w:szCs w:val="24"/>
        </w:rPr>
        <w:t xml:space="preserve">11) разрабатывает, представляет на рассмотрение и утверждение Наблюдательного совета Фонда проект сметы расходов, связанных с реализацией функций исполнительного органа Фонда на предстоящий год;</w:t>
      </w:r>
    </w:p>
    <w:p>
      <w:pPr>
        <w:spacing w:after="120"/>
        <w:ind w:firstLine="567"/>
        <w:jc w:val="both"/>
      </w:pPr>
      <w:r>
        <w:rPr>
          <w:rFonts w:ascii="Arial" w:cs="Arial" w:eastAsia="Arial" w:hAnsi="Arial"/>
          <w:sz w:val="24"/>
          <w:szCs w:val="24"/>
        </w:rPr>
        <w:t xml:space="preserve">12) проводит работу по организации заседаний Наблюдательного совета Фонда;</w:t>
      </w:r>
    </w:p>
    <w:p>
      <w:pPr>
        <w:spacing w:after="120"/>
        <w:ind w:firstLine="567"/>
        <w:jc w:val="both"/>
      </w:pPr>
      <w:r>
        <w:rPr>
          <w:rFonts w:ascii="Arial" w:cs="Arial" w:eastAsia="Arial" w:hAnsi="Arial"/>
          <w:sz w:val="24"/>
          <w:szCs w:val="24"/>
        </w:rPr>
        <w:t xml:space="preserve">13) подготавливает информацию для аудита;</w:t>
      </w:r>
    </w:p>
    <w:p>
      <w:pPr>
        <w:spacing w:after="120"/>
        <w:ind w:firstLine="567"/>
        <w:jc w:val="both"/>
      </w:pPr>
      <w:r>
        <w:rPr>
          <w:rFonts w:ascii="Arial" w:cs="Arial" w:eastAsia="Arial" w:hAnsi="Arial"/>
          <w:sz w:val="24"/>
          <w:szCs w:val="24"/>
        </w:rPr>
        <w:t xml:space="preserve">14) обеспечивает мониторинг реализации проектов, одобренных Наблюдательным советом Фонда;</w:t>
      </w:r>
    </w:p>
    <w:p>
      <w:pPr>
        <w:spacing w:after="120"/>
        <w:ind w:firstLine="567"/>
        <w:jc w:val="both"/>
      </w:pPr>
      <w:r>
        <w:rPr>
          <w:rFonts w:ascii="Arial" w:cs="Arial" w:eastAsia="Arial" w:hAnsi="Arial"/>
          <w:sz w:val="24"/>
          <w:szCs w:val="24"/>
        </w:rPr>
        <w:t xml:space="preserve">15) осуществляет иные функции и полномочия, направленные на реализацию настоящего Типового положения на основании решений Наблюдательного совета Фонда.</w:t>
      </w:r>
    </w:p>
    <w:p>
      <w:pPr>
        <w:spacing w:after="120"/>
        <w:ind w:firstLine="567"/>
        <w:jc w:val="both"/>
      </w:pPr>
      <w:r>
        <w:rPr>
          <w:rFonts w:ascii="Arial" w:cs="Arial" w:eastAsia="Arial" w:hAnsi="Arial"/>
          <w:sz w:val="24"/>
          <w:szCs w:val="24"/>
        </w:rPr>
        <w:t xml:space="preserve">36. Руководитель территориального подразделения уполномоченного государственного органа по прогнозированию и исполнению бюджета выступает в качестве главы исполнительного органа Фонда и в соответствии с решениями Наблюдательного совета Фонда:</w:t>
      </w:r>
    </w:p>
    <w:p>
      <w:pPr>
        <w:spacing w:after="120"/>
        <w:ind w:firstLine="567"/>
        <w:jc w:val="both"/>
      </w:pPr>
      <w:r>
        <w:rPr>
          <w:rFonts w:ascii="Arial" w:cs="Arial" w:eastAsia="Arial" w:hAnsi="Arial"/>
          <w:sz w:val="24"/>
          <w:szCs w:val="24"/>
        </w:rPr>
        <w:t xml:space="preserve">1) подписывает от имени Фонда двухсторонние договоры с победителями конкурса по отбору проектов, за исключением экономических проектов;</w:t>
      </w:r>
    </w:p>
    <w:p>
      <w:pPr>
        <w:spacing w:after="120"/>
        <w:ind w:firstLine="567"/>
        <w:jc w:val="both"/>
      </w:pPr>
      <w:r>
        <w:rPr>
          <w:rFonts w:ascii="Arial" w:cs="Arial" w:eastAsia="Arial" w:hAnsi="Arial"/>
          <w:sz w:val="24"/>
          <w:szCs w:val="24"/>
        </w:rPr>
        <w:t xml:space="preserve">2) подписывает финансовые соглашения с ОАО "ГИК" на основании решения Наблюдательного совета Фонда;</w:t>
      </w:r>
    </w:p>
    <w:p>
      <w:pPr>
        <w:spacing w:after="120"/>
        <w:ind w:firstLine="567"/>
        <w:jc w:val="both"/>
      </w:pPr>
      <w:r>
        <w:rPr>
          <w:rFonts w:ascii="Arial" w:cs="Arial" w:eastAsia="Arial" w:hAnsi="Arial"/>
          <w:sz w:val="24"/>
          <w:szCs w:val="24"/>
        </w:rPr>
        <w:t xml:space="preserve">3) подписывает платежные документы при финансировании проектов;</w:t>
      </w:r>
    </w:p>
    <w:p>
      <w:pPr>
        <w:spacing w:after="120"/>
        <w:ind w:firstLine="567"/>
        <w:jc w:val="both"/>
      </w:pPr>
      <w:r>
        <w:rPr>
          <w:rFonts w:ascii="Arial" w:cs="Arial" w:eastAsia="Arial" w:hAnsi="Arial"/>
          <w:sz w:val="24"/>
          <w:szCs w:val="24"/>
        </w:rPr>
        <w:t xml:space="preserve">4) на основании решений Наблюдательного совета Фонда осуществляет иные функции и полномочия, направленные на реализацию настоящего Типового положения.</w:t>
      </w:r>
    </w:p>
    <w:p>
      <w:pPr>
        <w:spacing w:after="120"/>
        <w:ind w:firstLine="567"/>
        <w:jc w:val="both"/>
      </w:pPr>
      <w:r>
        <w:rPr>
          <w:rFonts w:ascii="Arial" w:cs="Arial" w:eastAsia="Arial" w:hAnsi="Arial"/>
          <w:sz w:val="24"/>
          <w:szCs w:val="24"/>
        </w:rPr>
        <w:t xml:space="preserve">37. Исполнительный орган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38. Ежеквартально и по итогам каждого года Исполнительный орган Фонда подготавливает и представляет на рассмотрение Наблюдательного совета Фонда и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отчет об использовании средств Фонда за отчетный год и отчет о реализации проектов.</w:t>
      </w:r>
    </w:p>
    <w:p>
      <w:pPr>
        <w:spacing w:after="120"/>
        <w:ind w:firstLine="567"/>
        <w:jc w:val="both"/>
      </w:pPr>
      <w:r>
        <w:rPr>
          <w:rFonts w:ascii="Arial" w:cs="Arial" w:eastAsia="Arial" w:hAnsi="Arial"/>
          <w:sz w:val="24"/>
          <w:szCs w:val="24"/>
        </w:rPr>
        <w:t xml:space="preserve">39. В начале каждого года, не позднее 30 января текущего года, Исполнительный орган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поступлений в Фонд денежных средств.</w:t>
      </w:r>
    </w:p>
    <w:p>
      <w:pPr>
        <w:spacing w:after="240" w:before="200"/>
        <w:jc w:val="center"/>
      </w:pPr>
      <w:r>
        <w:rPr>
          <w:rFonts w:ascii="Arial" w:cs="Arial" w:eastAsia="Arial" w:hAnsi="Arial"/>
          <w:b/>
          <w:bCs/>
          <w:sz w:val="32"/>
          <w:szCs w:val="32"/>
        </w:rPr>
        <w:t xml:space="preserve">Глава 5. Порядок представления проектов для финансирования за счет средств Фонда</w:t>
      </w:r>
    </w:p>
    <w:p>
      <w:pPr>
        <w:spacing w:after="240" w:before="200"/>
        <w:jc w:val="center"/>
      </w:pPr>
      <w:r>
        <w:rPr>
          <w:rFonts w:ascii="Arial" w:cs="Arial" w:eastAsia="Arial" w:hAnsi="Arial"/>
          <w:b/>
          <w:bCs/>
          <w:sz w:val="32"/>
          <w:szCs w:val="32"/>
        </w:rPr>
        <w:t xml:space="preserve">§ 1. Порядок подачи проектной заявки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40. Информация о приеме проектных заявок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ind w:firstLine="567"/>
        <w:jc w:val="both"/>
      </w:pPr>
      <w:r>
        <w:rPr>
          <w:rFonts w:ascii="Arial" w:cs="Arial" w:eastAsia="Arial" w:hAnsi="Arial"/>
          <w:sz w:val="24"/>
          <w:szCs w:val="24"/>
        </w:rPr>
        <w:t xml:space="preserve">41. Заявитель оформляет проектную заявку (в электронном или бумажном формате) на получение финансирования для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120"/>
        <w:ind w:firstLine="567"/>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ind w:firstLine="567"/>
        <w:jc w:val="both"/>
      </w:pPr>
      <w:r>
        <w:rPr>
          <w:rFonts w:ascii="Arial" w:cs="Arial" w:eastAsia="Arial" w:hAnsi="Arial"/>
          <w:sz w:val="24"/>
          <w:szCs w:val="24"/>
        </w:rPr>
        <w:t xml:space="preserve">42. Исполнительный орган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ind w:firstLine="567"/>
        <w:jc w:val="both"/>
      </w:pPr>
      <w:r>
        <w:rPr>
          <w:rFonts w:ascii="Arial" w:cs="Arial" w:eastAsia="Arial" w:hAnsi="Arial"/>
          <w:sz w:val="24"/>
          <w:szCs w:val="24"/>
        </w:rPr>
        <w:t xml:space="preserve">Исполнительный орган Фонда имеет право уточнить информацию у заявителя или запросить дополнительные документы.</w:t>
      </w:r>
    </w:p>
    <w:p>
      <w:pPr>
        <w:spacing w:after="120"/>
        <w:ind w:firstLine="567"/>
        <w:jc w:val="both"/>
      </w:pPr>
      <w:r>
        <w:rPr>
          <w:rFonts w:ascii="Arial" w:cs="Arial" w:eastAsia="Arial" w:hAnsi="Arial"/>
          <w:sz w:val="24"/>
          <w:szCs w:val="24"/>
        </w:rPr>
        <w:t xml:space="preserve">43. Исполнительный орган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ind w:firstLine="567"/>
        <w:jc w:val="both"/>
      </w:pPr>
      <w:r>
        <w:rPr>
          <w:rFonts w:ascii="Arial" w:cs="Arial" w:eastAsia="Arial" w:hAnsi="Arial"/>
          <w:sz w:val="24"/>
          <w:szCs w:val="24"/>
        </w:rPr>
        <w:t xml:space="preserve">44. Предельный срок приема проектных заявок на предстоящий год устанавливается не позднее 15 ноября текущего года.</w:t>
      </w:r>
    </w:p>
    <w:p>
      <w:pPr>
        <w:spacing w:after="120"/>
        <w:ind w:firstLine="567"/>
        <w:jc w:val="both"/>
      </w:pPr>
      <w:r>
        <w:rPr>
          <w:rFonts w:ascii="Arial" w:cs="Arial" w:eastAsia="Arial" w:hAnsi="Arial"/>
          <w:sz w:val="24"/>
          <w:szCs w:val="24"/>
        </w:rPr>
        <w:t xml:space="preserve">45. Наблюдательный совет Фонда не позднее 15 декабря текущего года проводит заседание по отбору и утверждению проектов.</w:t>
      </w:r>
    </w:p>
    <w:p>
      <w:pPr>
        <w:spacing w:after="120"/>
        <w:ind w:firstLine="567"/>
        <w:jc w:val="both"/>
      </w:pPr>
      <w:r>
        <w:rPr>
          <w:rFonts w:ascii="Arial" w:cs="Arial" w:eastAsia="Arial" w:hAnsi="Arial"/>
          <w:sz w:val="24"/>
          <w:szCs w:val="24"/>
        </w:rPr>
        <w:t xml:space="preserve">46. Исполнительный орган Фонда не позднее чем за пять дней до начала заседания Наблюдательного совета Фонда направляет копии проектных заявок с приложением заключений всем членам Наблюдательного совета Фонда для предварительного изучения.</w:t>
      </w:r>
    </w:p>
    <w:p>
      <w:pPr>
        <w:spacing w:after="120"/>
        <w:ind w:firstLine="567"/>
        <w:jc w:val="both"/>
      </w:pPr>
      <w:r>
        <w:rPr>
          <w:rFonts w:ascii="Arial" w:cs="Arial" w:eastAsia="Arial" w:hAnsi="Arial"/>
          <w:sz w:val="24"/>
          <w:szCs w:val="24"/>
        </w:rPr>
        <w:t xml:space="preserve">47.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567"/>
        <w:jc w:val="both"/>
      </w:pPr>
      <w:r>
        <w:rPr>
          <w:rFonts w:ascii="Arial" w:cs="Arial" w:eastAsia="Arial" w:hAnsi="Arial"/>
          <w:sz w:val="24"/>
          <w:szCs w:val="24"/>
        </w:rPr>
        <w:t xml:space="preserve">48.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ind w:firstLine="567"/>
        <w:jc w:val="both"/>
      </w:pPr>
      <w:r>
        <w:rPr>
          <w:rFonts w:ascii="Arial" w:cs="Arial" w:eastAsia="Arial" w:hAnsi="Arial"/>
          <w:sz w:val="24"/>
          <w:szCs w:val="24"/>
        </w:rPr>
        <w:t xml:space="preserve">49.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предусмотренный для финансирования социальных и инфраструктурных проектов и проектов, выдвинутых в рамках государственного субсидирования местных общественных инициатив, в процентном соотношении согласно пункту 12 настоящего Типового положения.</w:t>
      </w:r>
    </w:p>
    <w:p>
      <w:pPr>
        <w:spacing w:after="120"/>
        <w:ind w:firstLine="567"/>
        <w:jc w:val="both"/>
      </w:pPr>
      <w:r>
        <w:rPr>
          <w:rFonts w:ascii="Arial" w:cs="Arial" w:eastAsia="Arial" w:hAnsi="Arial"/>
          <w:sz w:val="24"/>
          <w:szCs w:val="24"/>
        </w:rPr>
        <w:t xml:space="preserve">50.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прогнозирования и исполнения бюджета в срок, определенный в пункте 79 настоящего Типового положения.</w:t>
      </w:r>
    </w:p>
    <w:p>
      <w:pPr>
        <w:spacing w:after="120"/>
        <w:ind w:firstLine="567"/>
        <w:jc w:val="both"/>
      </w:pPr>
      <w:r>
        <w:rPr>
          <w:rFonts w:ascii="Arial" w:cs="Arial" w:eastAsia="Arial" w:hAnsi="Arial"/>
          <w:sz w:val="24"/>
          <w:szCs w:val="24"/>
        </w:rPr>
        <w:t xml:space="preserve">51.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120"/>
        <w:ind w:firstLine="567"/>
        <w:jc w:val="both"/>
      </w:pPr>
      <w:r>
        <w:rPr>
          <w:rFonts w:ascii="Arial" w:cs="Arial" w:eastAsia="Arial" w:hAnsi="Arial"/>
          <w:sz w:val="24"/>
          <w:szCs w:val="24"/>
        </w:rPr>
        <w:t xml:space="preserve">52. Исключительными основаниями для изменения рейтинга проектов или перечня заявленных проектов являются:</w:t>
      </w:r>
    </w:p>
    <w:p>
      <w:pPr>
        <w:spacing w:after="120"/>
        <w:ind w:firstLine="567"/>
        <w:jc w:val="both"/>
      </w:pPr>
      <w:r>
        <w:rPr>
          <w:rFonts w:ascii="Arial" w:cs="Arial" w:eastAsia="Arial" w:hAnsi="Arial"/>
          <w:sz w:val="24"/>
          <w:szCs w:val="24"/>
        </w:rPr>
        <w:t xml:space="preserve">1) наличие подтвержденных фактов нарушения процедур отбора проектов;</w:t>
      </w:r>
    </w:p>
    <w:p>
      <w:pPr>
        <w:spacing w:after="120"/>
        <w:ind w:firstLine="567"/>
        <w:jc w:val="both"/>
      </w:pPr>
      <w:r>
        <w:rPr>
          <w:rFonts w:ascii="Arial" w:cs="Arial" w:eastAsia="Arial" w:hAnsi="Arial"/>
          <w:sz w:val="24"/>
          <w:szCs w:val="24"/>
        </w:rPr>
        <w:t xml:space="preserve">2) наличие подтвержденных фактов о финансировании утвержденного проекта за счет других источников;</w:t>
      </w:r>
    </w:p>
    <w:p>
      <w:pPr>
        <w:spacing w:after="120"/>
        <w:ind w:firstLine="567"/>
        <w:jc w:val="both"/>
      </w:pPr>
      <w:r>
        <w:rPr>
          <w:rFonts w:ascii="Arial" w:cs="Arial" w:eastAsia="Arial" w:hAnsi="Arial"/>
          <w:sz w:val="24"/>
          <w:szCs w:val="24"/>
        </w:rPr>
        <w:t xml:space="preserve">3) наличие удовлетворенной Наблюдательным советом Фонда претензии со стороны других участников отбора;</w:t>
      </w:r>
    </w:p>
    <w:p>
      <w:pPr>
        <w:spacing w:after="120"/>
        <w:ind w:firstLine="567"/>
        <w:jc w:val="both"/>
      </w:pPr>
      <w:r>
        <w:rPr>
          <w:rFonts w:ascii="Arial" w:cs="Arial" w:eastAsia="Arial" w:hAnsi="Arial"/>
          <w:sz w:val="24"/>
          <w:szCs w:val="24"/>
        </w:rPr>
        <w:t xml:space="preserve">4) отказ заявителя от участия в конкурсе по отбору проектов для финансирования за счет средств Фонда.</w:t>
      </w:r>
    </w:p>
    <w:p>
      <w:pPr>
        <w:spacing w:after="120"/>
        <w:ind w:firstLine="567"/>
        <w:jc w:val="both"/>
      </w:pPr>
      <w:r>
        <w:rPr>
          <w:rFonts w:ascii="Arial" w:cs="Arial" w:eastAsia="Arial" w:hAnsi="Arial"/>
          <w:sz w:val="24"/>
          <w:szCs w:val="24"/>
        </w:rPr>
        <w:t xml:space="preserve">53. По итогам отбора проектов руководитель территориального подразделения уполномоченного государственного органа по прогнозированию и исполнению бюджета в качестве главы исполнительного органа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240" w:before="200"/>
        <w:jc w:val="center"/>
      </w:pPr>
      <w:r>
        <w:rPr>
          <w:rFonts w:ascii="Arial" w:cs="Arial" w:eastAsia="Arial" w:hAnsi="Arial"/>
          <w:b/>
          <w:bCs/>
          <w:sz w:val="32"/>
          <w:szCs w:val="32"/>
        </w:rPr>
        <w:t xml:space="preserve">§ 2. Порядок подачи проектной заявки на финансирование экономических проектов</w:t>
      </w:r>
    </w:p>
    <w:p>
      <w:pPr>
        <w:spacing w:after="120"/>
        <w:ind w:firstLine="567"/>
        <w:jc w:val="both"/>
      </w:pPr>
      <w:r>
        <w:rPr>
          <w:rFonts w:ascii="Arial" w:cs="Arial" w:eastAsia="Arial" w:hAnsi="Arial"/>
          <w:sz w:val="24"/>
          <w:szCs w:val="24"/>
        </w:rPr>
        <w:t xml:space="preserve">54. Исполнительный орган Фонда осуществляет прием заявок на финансирование экономических проектов от субъектов предпринимательства по мере поступления.</w:t>
      </w:r>
    </w:p>
    <w:p>
      <w:pPr>
        <w:spacing w:after="120"/>
        <w:ind w:firstLine="567"/>
        <w:jc w:val="both"/>
      </w:pPr>
      <w:r>
        <w:rPr>
          <w:rFonts w:ascii="Arial" w:cs="Arial" w:eastAsia="Arial" w:hAnsi="Arial"/>
          <w:sz w:val="24"/>
          <w:szCs w:val="24"/>
        </w:rPr>
        <w:t xml:space="preserve">55. Исполнительный орган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уточняет информацию у заявителя или запрашивает дополнительные документы и направляет на ознакомление членам Наблюдательного совета Фонда.</w:t>
      </w:r>
    </w:p>
    <w:p>
      <w:pPr>
        <w:spacing w:after="120"/>
        <w:ind w:firstLine="567"/>
        <w:jc w:val="both"/>
      </w:pPr>
      <w:r>
        <w:rPr>
          <w:rFonts w:ascii="Arial" w:cs="Arial" w:eastAsia="Arial" w:hAnsi="Arial"/>
          <w:sz w:val="24"/>
          <w:szCs w:val="24"/>
        </w:rPr>
        <w:t xml:space="preserve">56. Исполнительный орган Фонда прилагает к каждой проектной заявке свое заключение, в котором указывается соответствие заявки и ее приложений требованиям настоящего Типового положения.</w:t>
      </w:r>
    </w:p>
    <w:p>
      <w:pPr>
        <w:spacing w:after="120"/>
        <w:ind w:firstLine="567"/>
        <w:jc w:val="both"/>
      </w:pPr>
      <w:r>
        <w:rPr>
          <w:rFonts w:ascii="Arial" w:cs="Arial" w:eastAsia="Arial" w:hAnsi="Arial"/>
          <w:sz w:val="24"/>
          <w:szCs w:val="24"/>
        </w:rPr>
        <w:t xml:space="preserve">57.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120"/>
        <w:ind w:firstLine="567"/>
        <w:jc w:val="both"/>
      </w:pPr>
      <w:r>
        <w:rPr>
          <w:rFonts w:ascii="Arial" w:cs="Arial" w:eastAsia="Arial" w:hAnsi="Arial"/>
          <w:sz w:val="24"/>
          <w:szCs w:val="24"/>
        </w:rPr>
        <w:t xml:space="preserve">Отобранные экономические проекты должны способствовать повышению социально-экономического развития региона, увеличению промышленной базы, созданию рабочих мест из числа местного населения и поступлению дополнительных средств в соответствующие бюджеты, а также повышению экономической, продовольственной, энергетической и экологической безопасности региона.</w:t>
      </w:r>
    </w:p>
    <w:p>
      <w:pPr>
        <w:spacing w:after="120"/>
        <w:ind w:firstLine="567"/>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предназначенных для финансирования экономических проектов.</w:t>
      </w:r>
    </w:p>
    <w:p>
      <w:pPr>
        <w:spacing w:after="120"/>
        <w:ind w:firstLine="567"/>
        <w:jc w:val="both"/>
      </w:pPr>
      <w:r>
        <w:rPr>
          <w:rFonts w:ascii="Arial" w:cs="Arial" w:eastAsia="Arial" w:hAnsi="Arial"/>
          <w:sz w:val="24"/>
          <w:szCs w:val="24"/>
        </w:rPr>
        <w:t xml:space="preserve">Минимальная сумма баллов не должна быть менее 80 баллов согласно критериям отбора экономических проектов, в противном случае экономические проекты подлежат отклонению.</w:t>
      </w:r>
    </w:p>
    <w:p>
      <w:pPr>
        <w:spacing w:after="120"/>
        <w:ind w:firstLine="567"/>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w:t>
      </w:r>
    </w:p>
    <w:p>
      <w:pPr>
        <w:spacing w:after="120"/>
        <w:ind w:firstLine="567"/>
        <w:jc w:val="both"/>
      </w:pPr>
      <w:r>
        <w:rPr>
          <w:rFonts w:ascii="Arial" w:cs="Arial" w:eastAsia="Arial" w:hAnsi="Arial"/>
          <w:sz w:val="24"/>
          <w:szCs w:val="24"/>
        </w:rPr>
        <w:t xml:space="preserve">58. Перечень проектов утверждается протоколом заседания Наблюдательного совета Фонда и направляется уполномоченному агенту с предоставлением копии решения Наблюдательного совета Фонда. Заявители одобренных проектов уведомляются не позднее трех рабочих дней после проведенного заседания Наблюдательного совета Фонда.</w:t>
      </w:r>
    </w:p>
    <w:p>
      <w:pPr>
        <w:spacing w:after="120"/>
        <w:ind w:firstLine="567"/>
        <w:jc w:val="both"/>
      </w:pPr>
      <w:r>
        <w:rPr>
          <w:rFonts w:ascii="Arial" w:cs="Arial" w:eastAsia="Arial" w:hAnsi="Arial"/>
          <w:sz w:val="24"/>
          <w:szCs w:val="24"/>
        </w:rPr>
        <w:t xml:space="preserve">59. Заявители проектов, одобренных решением Наблюдательного совета фонда, обращаются уполномоченному агенту для дальнейшей подачи необходимых документов в соответствии с требованиями настоящего Типового положения и Положения о работе с бюджетными кредитами, утверждаемого решением Кабинета Министров Кыргызской Республики (далее - Положение о работе с бюджетными кредитами).</w:t>
      </w:r>
    </w:p>
    <w:p>
      <w:pPr>
        <w:spacing w:after="120"/>
        <w:ind w:firstLine="567"/>
        <w:jc w:val="both"/>
      </w:pPr>
      <w:r>
        <w:rPr>
          <w:rFonts w:ascii="Arial" w:cs="Arial" w:eastAsia="Arial" w:hAnsi="Arial"/>
          <w:sz w:val="24"/>
          <w:szCs w:val="24"/>
        </w:rPr>
        <w:t xml:space="preserve">60. Уполномоченный агент осуществляет дальнейший отбор проектов для бюджетного кредитования в соответствии с требованиями настоящего Типового положения и Положения о работе с бюджетными кредитами.</w:t>
      </w:r>
    </w:p>
    <w:p>
      <w:pPr>
        <w:spacing w:after="120"/>
        <w:ind w:firstLine="567"/>
        <w:jc w:val="both"/>
      </w:pPr>
      <w:r>
        <w:rPr>
          <w:rFonts w:ascii="Arial" w:cs="Arial" w:eastAsia="Arial" w:hAnsi="Arial"/>
          <w:sz w:val="24"/>
          <w:szCs w:val="24"/>
        </w:rPr>
        <w:t xml:space="preserve">В случае соответствия установленным требованиям настоящего Типового положения и Положения о работе с бюджетными кредитами, а также при наличии всех необходимых документов уполномоченный агент заключает соответствующие кредитные договоры с заявителями.</w:t>
      </w:r>
    </w:p>
    <w:p>
      <w:pPr>
        <w:spacing w:after="120"/>
        <w:ind w:firstLine="567"/>
        <w:jc w:val="both"/>
      </w:pPr>
      <w:r>
        <w:rPr>
          <w:rFonts w:ascii="Arial" w:cs="Arial" w:eastAsia="Arial" w:hAnsi="Arial"/>
          <w:sz w:val="24"/>
          <w:szCs w:val="24"/>
        </w:rPr>
        <w:t xml:space="preserve">61. Проекты, не соответствующие установленным требованиям настоящего Типового положения и Положения о работе с бюджетными кредитами, могут быть возвращены со стороны уполномоченного агента для устранения недостатков.</w:t>
      </w:r>
    </w:p>
    <w:p>
      <w:pPr>
        <w:spacing w:after="120"/>
        <w:ind w:firstLine="567"/>
        <w:jc w:val="both"/>
      </w:pPr>
      <w:r>
        <w:rPr>
          <w:rFonts w:ascii="Arial" w:cs="Arial" w:eastAsia="Arial" w:hAnsi="Arial"/>
          <w:sz w:val="24"/>
          <w:szCs w:val="24"/>
        </w:rPr>
        <w:t xml:space="preserve">В случае если заявителем в течение одного календарного месяца не устранены выявленные недостатки, проект подлежит отклонению.</w:t>
      </w:r>
    </w:p>
    <w:p>
      <w:pPr>
        <w:spacing w:after="240" w:before="200"/>
        <w:jc w:val="center"/>
      </w:pPr>
      <w:r>
        <w:rPr>
          <w:rFonts w:ascii="Arial" w:cs="Arial" w:eastAsia="Arial" w:hAnsi="Arial"/>
          <w:b/>
          <w:bCs/>
          <w:sz w:val="32"/>
          <w:szCs w:val="32"/>
        </w:rPr>
        <w:t xml:space="preserve">§ 3. Порядок финансирования экономических проектов</w:t>
      </w:r>
    </w:p>
    <w:p>
      <w:pPr>
        <w:spacing w:after="120"/>
        <w:ind w:firstLine="567"/>
        <w:jc w:val="both"/>
      </w:pPr>
      <w:r>
        <w:rPr>
          <w:rFonts w:ascii="Arial" w:cs="Arial" w:eastAsia="Arial" w:hAnsi="Arial"/>
          <w:sz w:val="24"/>
          <w:szCs w:val="24"/>
        </w:rPr>
        <w:t xml:space="preserve">62. Экономические проекты, планируемые к финансированию через уполномоченного агента в виде бюджетного кредитования, должны способствовать социально-экономическому развитию региона, а также развитию сельскохозяйственного сектора.</w:t>
      </w:r>
    </w:p>
    <w:p>
      <w:pPr>
        <w:spacing w:after="120"/>
        <w:ind w:firstLine="567"/>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назначения) и иных товаров, изъятых из гражданского оборота или ограниченных в гражданском обороте, а также использующие принудительный и детский труд и прочие запрещенные законодательством Кыргызской Республики виды деятельности.</w:t>
      </w:r>
    </w:p>
    <w:p>
      <w:pPr>
        <w:spacing w:after="120"/>
        <w:ind w:firstLine="567"/>
        <w:jc w:val="both"/>
      </w:pPr>
      <w:r>
        <w:rPr>
          <w:rFonts w:ascii="Arial" w:cs="Arial" w:eastAsia="Arial" w:hAnsi="Arial"/>
          <w:sz w:val="24"/>
          <w:szCs w:val="24"/>
        </w:rPr>
        <w:t xml:space="preserve">Не подлежат к финансированию проекты, включающие в себя рефинансирование ранее полученных кредитных средств у финансово-кредитных организаций и на погашение ранее образовавшихся задолженностей перед бюджетом (по налогам и страховым взносам).</w:t>
      </w:r>
    </w:p>
    <w:p>
      <w:pPr>
        <w:spacing w:after="120"/>
        <w:ind w:firstLine="567"/>
        <w:jc w:val="both"/>
      </w:pPr>
      <w:r>
        <w:rPr>
          <w:rFonts w:ascii="Arial" w:cs="Arial" w:eastAsia="Arial" w:hAnsi="Arial"/>
          <w:sz w:val="24"/>
          <w:szCs w:val="24"/>
        </w:rPr>
        <w:t xml:space="preserve">63. На финансирование одного проекта путем предоставления бюджетного кредита направляется не более 20 процентов средств Фонда, предназначенных на финансирование экономических проектов, за исключением фондов, где предусмотренный годовой бюджет на финансирование экономических проектов менее 15000000 (пятнадцать миллионов) сомов.</w:t>
      </w:r>
    </w:p>
    <w:p>
      <w:pPr>
        <w:spacing w:after="120"/>
        <w:ind w:firstLine="567"/>
        <w:jc w:val="both"/>
      </w:pPr>
      <w:r>
        <w:rPr>
          <w:rFonts w:ascii="Arial" w:cs="Arial" w:eastAsia="Arial" w:hAnsi="Arial"/>
          <w:sz w:val="24"/>
          <w:szCs w:val="24"/>
        </w:rPr>
        <w:t xml:space="preserve">В случае, когда стоимость экономических проектов превышает данный показатель, субъект предпринимательства привлекает софинансирование со стороны финансовых институтов для финансирования недостающей части суммы проекта.</w:t>
      </w:r>
    </w:p>
    <w:p>
      <w:pPr>
        <w:spacing w:after="120"/>
        <w:ind w:firstLine="567"/>
        <w:jc w:val="both"/>
      </w:pPr>
      <w:r>
        <w:rPr>
          <w:rFonts w:ascii="Arial" w:cs="Arial" w:eastAsia="Arial" w:hAnsi="Arial"/>
          <w:sz w:val="24"/>
          <w:szCs w:val="24"/>
        </w:rPr>
        <w:t xml:space="preserve">64. Финансирование экономических проектов сельскохозяйственного сектора должно быть направлено на хранение, переработку и обработку сельскохозяйственной продукции, а также приобретение оборудования на цели развития агропромышленного комплекса.</w:t>
      </w:r>
    </w:p>
    <w:p>
      <w:pPr>
        <w:spacing w:after="120"/>
        <w:ind w:firstLine="567"/>
        <w:jc w:val="both"/>
      </w:pPr>
      <w:r>
        <w:rPr>
          <w:rFonts w:ascii="Arial" w:cs="Arial" w:eastAsia="Arial" w:hAnsi="Arial"/>
          <w:sz w:val="24"/>
          <w:szCs w:val="24"/>
        </w:rPr>
        <w:t xml:space="preserve">65. Бюджетное кредитование за счет средств Фонда осуществляется уполномоченным агентом на условиях, определенных настоящим Типовым положением и Положением о работе с бюджетными кредитами, в части, не урегулированной настоящим Типовым положением.</w:t>
      </w:r>
    </w:p>
    <w:p>
      <w:pPr>
        <w:spacing w:after="120"/>
        <w:ind w:firstLine="567"/>
        <w:jc w:val="both"/>
      </w:pPr>
      <w:r>
        <w:rPr>
          <w:rFonts w:ascii="Arial" w:cs="Arial" w:eastAsia="Arial" w:hAnsi="Arial"/>
          <w:sz w:val="24"/>
          <w:szCs w:val="24"/>
        </w:rPr>
        <w:t xml:space="preserve">Для предоставления бюджетных кредитов за счет средств Фонда не требуется решение Кабинета Министров Кыргызской Республики.</w:t>
      </w:r>
    </w:p>
    <w:p>
      <w:pPr>
        <w:spacing w:after="120"/>
        <w:ind w:firstLine="567"/>
        <w:jc w:val="both"/>
      </w:pPr>
      <w:r>
        <w:rPr>
          <w:rFonts w:ascii="Arial" w:cs="Arial" w:eastAsia="Arial" w:hAnsi="Arial"/>
          <w:sz w:val="24"/>
          <w:szCs w:val="24"/>
        </w:rPr>
        <w:t xml:space="preserve">66. Условия бюджетного кредитования за счет средств Фонда:</w:t>
      </w:r>
    </w:p>
    <w:p>
      <w:pPr>
        <w:spacing w:after="120"/>
        <w:ind w:firstLine="567"/>
        <w:jc w:val="both"/>
      </w:pPr>
      <w:r>
        <w:rPr>
          <w:rFonts w:ascii="Arial" w:cs="Arial" w:eastAsia="Arial" w:hAnsi="Arial"/>
          <w:sz w:val="24"/>
          <w:szCs w:val="24"/>
        </w:rPr>
        <w:t xml:space="preserve">1) платность - процентная ставка за пользование кредитом - 2 процента годовых;</w:t>
      </w:r>
    </w:p>
    <w:p>
      <w:pPr>
        <w:spacing w:after="120"/>
        <w:ind w:firstLine="567"/>
        <w:jc w:val="both"/>
      </w:pPr>
      <w:r>
        <w:rPr>
          <w:rFonts w:ascii="Arial" w:cs="Arial" w:eastAsia="Arial" w:hAnsi="Arial"/>
          <w:sz w:val="24"/>
          <w:szCs w:val="24"/>
        </w:rPr>
        <w:t xml:space="preserve">2) неустойка (пени) - 6 процентов годовых;</w:t>
      </w:r>
    </w:p>
    <w:p>
      <w:pPr>
        <w:spacing w:after="120"/>
        <w:ind w:firstLine="567"/>
        <w:jc w:val="both"/>
      </w:pPr>
      <w:r>
        <w:rPr>
          <w:rFonts w:ascii="Arial" w:cs="Arial" w:eastAsia="Arial" w:hAnsi="Arial"/>
          <w:sz w:val="24"/>
          <w:szCs w:val="24"/>
        </w:rPr>
        <w:t xml:space="preserve">3) предоставление субъектом предпринимательства обеспечения исполнения обязательств по возврату бюджетного кредита в виде ликвидного залога, банковской гарантии или иными способами обеспечения обязательств в соответствии с нормами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4) платежеспособность получателей бюджетных кредитов, включающая в себя:</w:t>
      </w:r>
    </w:p>
    <w:p>
      <w:pPr>
        <w:spacing w:after="120"/>
        <w:ind w:firstLine="567"/>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12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5) срочность - бюджетные кредиты предоставляются на следующие сроки:</w:t>
      </w:r>
    </w:p>
    <w:p>
      <w:pPr>
        <w:spacing w:after="120"/>
        <w:ind w:firstLine="567"/>
        <w:jc w:val="both"/>
      </w:pPr>
      <w:r>
        <w:rPr>
          <w:rFonts w:ascii="Arial" w:cs="Arial" w:eastAsia="Arial" w:hAnsi="Arial"/>
          <w:sz w:val="24"/>
          <w:szCs w:val="24"/>
        </w:rPr>
        <w:t xml:space="preserve">- в сумме до 3000000 (три миллиона) сомов - до 5 лет;</w:t>
      </w:r>
    </w:p>
    <w:p>
      <w:pPr>
        <w:spacing w:after="120"/>
        <w:ind w:firstLine="567"/>
        <w:jc w:val="both"/>
      </w:pPr>
      <w:r>
        <w:rPr>
          <w:rFonts w:ascii="Arial" w:cs="Arial" w:eastAsia="Arial" w:hAnsi="Arial"/>
          <w:sz w:val="24"/>
          <w:szCs w:val="24"/>
        </w:rPr>
        <w:t xml:space="preserve">- в сумме от 3000000 (три миллиона) сомов до 5000000 (пять миллионов) сомов - до 7 лет;</w:t>
      </w:r>
    </w:p>
    <w:p>
      <w:pPr>
        <w:spacing w:after="120"/>
        <w:ind w:firstLine="567"/>
        <w:jc w:val="both"/>
      </w:pPr>
      <w:r>
        <w:rPr>
          <w:rFonts w:ascii="Arial" w:cs="Arial" w:eastAsia="Arial" w:hAnsi="Arial"/>
          <w:sz w:val="24"/>
          <w:szCs w:val="24"/>
        </w:rPr>
        <w:t xml:space="preserve">- в сумме более 5000000 (пять миллионов) сомов - до 10 лет;</w:t>
      </w:r>
    </w:p>
    <w:p>
      <w:pPr>
        <w:spacing w:after="120"/>
        <w:ind w:firstLine="567"/>
        <w:jc w:val="both"/>
      </w:pPr>
      <w:r>
        <w:rPr>
          <w:rFonts w:ascii="Arial" w:cs="Arial" w:eastAsia="Arial" w:hAnsi="Arial"/>
          <w:sz w:val="24"/>
          <w:szCs w:val="24"/>
        </w:rPr>
        <w:t xml:space="preserve">6) возрастной предел - для физических лиц и индивидуальных предпринимателей: возраст заемщика и поручителя на дату полного погашения бюджетного кредита не должен превышать 68 (шестьдесят восемь) лет.</w:t>
      </w:r>
    </w:p>
    <w:p>
      <w:pPr>
        <w:spacing w:after="120"/>
        <w:ind w:firstLine="567"/>
        <w:jc w:val="both"/>
      </w:pPr>
      <w:r>
        <w:rPr>
          <w:rFonts w:ascii="Arial" w:cs="Arial" w:eastAsia="Arial" w:hAnsi="Arial"/>
          <w:sz w:val="24"/>
          <w:szCs w:val="24"/>
        </w:rPr>
        <w:t xml:space="preserve">67. Бюджетное кредитование стартап-проектов, направленных на решение вопросов местного значения, осуществляется в соответствии с требованиями Положения о работе с бюджетными кредитами.</w:t>
      </w:r>
    </w:p>
    <w:p>
      <w:pPr>
        <w:spacing w:after="120"/>
        <w:ind w:firstLine="567"/>
        <w:jc w:val="both"/>
      </w:pPr>
      <w:r>
        <w:rPr>
          <w:rFonts w:ascii="Arial" w:cs="Arial" w:eastAsia="Arial" w:hAnsi="Arial"/>
          <w:sz w:val="24"/>
          <w:szCs w:val="24"/>
        </w:rPr>
        <w:t xml:space="preserve">68. Основная сумма, проценты за пользование, финансовая санкция (неустойка) по бюджетным кредитам подлежат возврату в республиканский бюджет в соответствии с условиями заключенных кредитных договоров.</w:t>
      </w:r>
    </w:p>
    <w:p>
      <w:pPr>
        <w:spacing w:after="120"/>
        <w:ind w:firstLine="567"/>
        <w:jc w:val="both"/>
      </w:pPr>
      <w:r>
        <w:rPr>
          <w:rFonts w:ascii="Arial" w:cs="Arial" w:eastAsia="Arial" w:hAnsi="Arial"/>
          <w:sz w:val="24"/>
          <w:szCs w:val="24"/>
        </w:rPr>
        <w:t xml:space="preserve">69. Льготный период по погашению основной суммы бюджетного кредита предоставляется с учетом специфики экономического проекта на срок не более 12 месяцев.</w:t>
      </w:r>
    </w:p>
    <w:p>
      <w:pPr>
        <w:spacing w:after="120"/>
        <w:ind w:firstLine="567"/>
        <w:jc w:val="both"/>
      </w:pPr>
      <w:r>
        <w:rPr>
          <w:rFonts w:ascii="Arial" w:cs="Arial" w:eastAsia="Arial" w:hAnsi="Arial"/>
          <w:sz w:val="24"/>
          <w:szCs w:val="24"/>
        </w:rPr>
        <w:t xml:space="preserve">70. Сроки и периодичность погашения основной суммы долга и процентов по бюджетным кредитам устанавливаются в соответствии с графиком погашения, являющимся неотъемлемой частью кредитного договора.</w:t>
      </w:r>
    </w:p>
    <w:p>
      <w:pPr>
        <w:spacing w:after="120"/>
        <w:ind w:firstLine="567"/>
        <w:jc w:val="both"/>
      </w:pPr>
      <w:r>
        <w:rPr>
          <w:rFonts w:ascii="Arial" w:cs="Arial" w:eastAsia="Arial" w:hAnsi="Arial"/>
          <w:sz w:val="24"/>
          <w:szCs w:val="24"/>
        </w:rPr>
        <w:t xml:space="preserve">71. Исполнительный орган Фонда:</w:t>
      </w:r>
    </w:p>
    <w:p>
      <w:pPr>
        <w:spacing w:after="120"/>
        <w:ind w:firstLine="567"/>
        <w:jc w:val="both"/>
      </w:pPr>
      <w:r>
        <w:rPr>
          <w:rFonts w:ascii="Arial" w:cs="Arial" w:eastAsia="Arial" w:hAnsi="Arial"/>
          <w:sz w:val="24"/>
          <w:szCs w:val="24"/>
        </w:rPr>
        <w:t xml:space="preserve">1) по мере поступления осуществляет сбор заявок субъектов предпринимательства и выносит их на рассмотрение Наблюдательного совета Фонда;</w:t>
      </w:r>
    </w:p>
    <w:p>
      <w:pPr>
        <w:spacing w:after="120"/>
        <w:ind w:firstLine="567"/>
        <w:jc w:val="both"/>
      </w:pPr>
      <w:r>
        <w:rPr>
          <w:rFonts w:ascii="Arial" w:cs="Arial" w:eastAsia="Arial" w:hAnsi="Arial"/>
          <w:sz w:val="24"/>
          <w:szCs w:val="24"/>
        </w:rPr>
        <w:t xml:space="preserve">2) предоставляет уполномоченному агенту и заявителям копию решения Наблюдательного совета Фонда с перечнем одобренных экономических проектов;</w:t>
      </w:r>
    </w:p>
    <w:p>
      <w:pPr>
        <w:spacing w:after="120"/>
        <w:ind w:firstLine="567"/>
        <w:jc w:val="both"/>
      </w:pPr>
      <w:r>
        <w:rPr>
          <w:rFonts w:ascii="Arial" w:cs="Arial" w:eastAsia="Arial" w:hAnsi="Arial"/>
          <w:sz w:val="24"/>
          <w:szCs w:val="24"/>
        </w:rPr>
        <w:t xml:space="preserve">3) в случае отклонения проекта со стороны уполномоченного агента, вносит на рассмотрение Наблюдательного совета Фонда новый перечень экономических проектов.</w:t>
      </w:r>
    </w:p>
    <w:p>
      <w:pPr>
        <w:spacing w:after="120"/>
        <w:ind w:firstLine="567"/>
        <w:jc w:val="both"/>
      </w:pPr>
      <w:r>
        <w:rPr>
          <w:rFonts w:ascii="Arial" w:cs="Arial" w:eastAsia="Arial" w:hAnsi="Arial"/>
          <w:sz w:val="24"/>
          <w:szCs w:val="24"/>
        </w:rPr>
        <w:t xml:space="preserve">72. Уполномоченный агент:</w:t>
      </w:r>
    </w:p>
    <w:p>
      <w:pPr>
        <w:spacing w:after="120"/>
        <w:ind w:firstLine="567"/>
        <w:jc w:val="both"/>
      </w:pPr>
      <w:r>
        <w:rPr>
          <w:rFonts w:ascii="Arial" w:cs="Arial" w:eastAsia="Arial" w:hAnsi="Arial"/>
          <w:sz w:val="24"/>
          <w:szCs w:val="24"/>
        </w:rPr>
        <w:t xml:space="preserve">1) рассматривает поступившие кредитные заявки субъектов предпринимательства, ранее одобренные решением Наблюдательного совета Фонда на предмет их соответствия требованиям, установленным настоящим Типовым положением и Положением о работе с бюджетными кредитами;</w:t>
      </w:r>
    </w:p>
    <w:p>
      <w:pPr>
        <w:spacing w:after="120"/>
        <w:ind w:firstLine="567"/>
        <w:jc w:val="both"/>
      </w:pPr>
      <w:r>
        <w:rPr>
          <w:rFonts w:ascii="Arial" w:cs="Arial" w:eastAsia="Arial" w:hAnsi="Arial"/>
          <w:sz w:val="24"/>
          <w:szCs w:val="24"/>
        </w:rPr>
        <w:t xml:space="preserve">2) заключает кредитные договоры с отобранными субъектами предпринимательства;</w:t>
      </w:r>
    </w:p>
    <w:p>
      <w:pPr>
        <w:spacing w:after="120"/>
        <w:ind w:firstLine="567"/>
        <w:jc w:val="both"/>
      </w:pPr>
      <w:r>
        <w:rPr>
          <w:rFonts w:ascii="Arial" w:cs="Arial" w:eastAsia="Arial" w:hAnsi="Arial"/>
          <w:sz w:val="24"/>
          <w:szCs w:val="24"/>
        </w:rPr>
        <w:t xml:space="preserve">3) осуществляет администрирование выданных бюджетных кредитов;</w:t>
      </w:r>
    </w:p>
    <w:p>
      <w:pPr>
        <w:spacing w:after="120"/>
        <w:ind w:firstLine="567"/>
        <w:jc w:val="both"/>
      </w:pPr>
      <w:r>
        <w:rPr>
          <w:rFonts w:ascii="Arial" w:cs="Arial" w:eastAsia="Arial" w:hAnsi="Arial"/>
          <w:sz w:val="24"/>
          <w:szCs w:val="24"/>
        </w:rPr>
        <w:t xml:space="preserve">4) несет ответственность за неисполнение или ненадлежащее исполнение обязанностей, связанных с реализацией экономических проектов и предоставлением поручительств.</w:t>
      </w:r>
    </w:p>
    <w:p>
      <w:pPr>
        <w:spacing w:after="120"/>
        <w:ind w:firstLine="567"/>
        <w:jc w:val="both"/>
      </w:pPr>
      <w:r>
        <w:rPr>
          <w:rFonts w:ascii="Arial" w:cs="Arial" w:eastAsia="Arial" w:hAnsi="Arial"/>
          <w:sz w:val="24"/>
          <w:szCs w:val="24"/>
        </w:rPr>
        <w:t xml:space="preserve">73. Суммы бюджетных кредитов перечисляются на счета субъектов предпринимательства (заемщики) на основании заключенных кредитных договоров по письменной заявке уполномоченного агента.</w:t>
      </w:r>
    </w:p>
    <w:p>
      <w:pPr>
        <w:spacing w:after="120"/>
        <w:ind w:firstLine="567"/>
        <w:jc w:val="both"/>
      </w:pPr>
      <w:r>
        <w:rPr>
          <w:rFonts w:ascii="Arial" w:cs="Arial" w:eastAsia="Arial" w:hAnsi="Arial"/>
          <w:sz w:val="24"/>
          <w:szCs w:val="24"/>
        </w:rPr>
        <w:t xml:space="preserve">74. Ежеквартально и по итогам завершения работ по экономическому проекту исполнитель проекта предоставляет уполномоченному агенту финансовый отчет и отчет о ходе реализации проекта по установленной форме.</w:t>
      </w:r>
    </w:p>
    <w:p>
      <w:pPr>
        <w:spacing w:after="240" w:before="200"/>
        <w:jc w:val="center"/>
      </w:pPr>
      <w:r>
        <w:rPr>
          <w:rFonts w:ascii="Arial" w:cs="Arial" w:eastAsia="Arial" w:hAnsi="Arial"/>
          <w:b/>
          <w:bCs/>
          <w:sz w:val="32"/>
          <w:szCs w:val="32"/>
        </w:rPr>
        <w:t xml:space="preserve">§ 4. Обязательства исполнителя проекта</w:t>
      </w:r>
    </w:p>
    <w:p>
      <w:pPr>
        <w:spacing w:after="120"/>
        <w:ind w:firstLine="567"/>
        <w:jc w:val="both"/>
      </w:pPr>
      <w:r>
        <w:rPr>
          <w:rFonts w:ascii="Arial" w:cs="Arial" w:eastAsia="Arial" w:hAnsi="Arial"/>
          <w:sz w:val="24"/>
          <w:szCs w:val="24"/>
        </w:rPr>
        <w:t xml:space="preserve">75. Исполнитель проекта обязан:</w:t>
      </w:r>
    </w:p>
    <w:p>
      <w:pPr>
        <w:spacing w:after="12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исполнительным органом Фонда;</w:t>
      </w:r>
    </w:p>
    <w:p>
      <w:pPr>
        <w:spacing w:after="120"/>
        <w:ind w:firstLine="567"/>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120"/>
        <w:ind w:firstLine="567"/>
        <w:jc w:val="both"/>
      </w:pPr>
      <w:r>
        <w:rPr>
          <w:rFonts w:ascii="Arial" w:cs="Arial" w:eastAsia="Arial" w:hAnsi="Arial"/>
          <w:sz w:val="24"/>
          <w:szCs w:val="24"/>
        </w:rPr>
        <w:t xml:space="preserve">3) проводить закупки товаров, работ и услуг по проекту в соответствии с законодательством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12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120"/>
        <w:ind w:firstLine="567"/>
        <w:jc w:val="both"/>
      </w:pPr>
      <w:r>
        <w:rPr>
          <w:rFonts w:ascii="Arial" w:cs="Arial" w:eastAsia="Arial" w:hAnsi="Arial"/>
          <w:sz w:val="24"/>
          <w:szCs w:val="24"/>
        </w:rPr>
        <w:t xml:space="preserve">76. Ежеквартально и по итогам завершения работ по проекту исполнитель проекта предоставляет исполнительному органу Фонда и/или уполномоченному агенту финансовый отчет и отчет о ходе реализации проекта по установленной форме.</w:t>
      </w:r>
    </w:p>
    <w:p>
      <w:pPr>
        <w:spacing w:after="240" w:before="200"/>
        <w:jc w:val="center"/>
      </w:pPr>
      <w:r>
        <w:rPr>
          <w:rFonts w:ascii="Arial" w:cs="Arial" w:eastAsia="Arial" w:hAnsi="Arial"/>
          <w:b/>
          <w:bCs/>
          <w:sz w:val="32"/>
          <w:szCs w:val="32"/>
        </w:rPr>
        <w:t xml:space="preserve">Глава 6. Порядок формирования и расходования финансовых средств Фонда</w:t>
      </w:r>
    </w:p>
    <w:p>
      <w:pPr>
        <w:spacing w:after="240" w:before="200"/>
        <w:jc w:val="center"/>
      </w:pPr>
      <w:r>
        <w:rPr>
          <w:rFonts w:ascii="Arial" w:cs="Arial" w:eastAsia="Arial" w:hAnsi="Arial"/>
          <w:b/>
          <w:bCs/>
          <w:sz w:val="32"/>
          <w:szCs w:val="32"/>
        </w:rPr>
        <w:t xml:space="preserve">§ 1. Порядок формирования финансовых средств Фонда</w:t>
      </w:r>
    </w:p>
    <w:p>
      <w:pPr>
        <w:spacing w:after="120"/>
        <w:ind w:firstLine="567"/>
        <w:jc w:val="both"/>
      </w:pPr>
      <w:r>
        <w:rPr>
          <w:rFonts w:ascii="Arial" w:cs="Arial" w:eastAsia="Arial" w:hAnsi="Arial"/>
          <w:sz w:val="24"/>
          <w:szCs w:val="24"/>
        </w:rPr>
        <w:t xml:space="preserve">77. Финансовые средства Фонда формируются:</w:t>
      </w:r>
    </w:p>
    <w:p>
      <w:pPr>
        <w:spacing w:after="120"/>
        <w:ind w:firstLine="567"/>
        <w:jc w:val="both"/>
      </w:pPr>
      <w:r>
        <w:rPr>
          <w:rFonts w:ascii="Arial" w:cs="Arial" w:eastAsia="Arial" w:hAnsi="Arial"/>
          <w:sz w:val="24"/>
          <w:szCs w:val="24"/>
        </w:rPr>
        <w:t xml:space="preserve">1) по бюджетным счетам за счет средств:</w:t>
      </w:r>
    </w:p>
    <w:p>
      <w:pPr>
        <w:spacing w:after="120"/>
        <w:ind w:firstLine="567"/>
        <w:jc w:val="both"/>
      </w:pPr>
      <w:r>
        <w:rPr>
          <w:rFonts w:ascii="Arial" w:cs="Arial" w:eastAsia="Arial" w:hAnsi="Arial"/>
          <w:sz w:val="24"/>
          <w:szCs w:val="24"/>
        </w:rPr>
        <w:t xml:space="preserve">-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Кодексом Кыргызской Республики о неналоговых доходах;</w:t>
      </w:r>
    </w:p>
    <w:p>
      <w:pPr>
        <w:spacing w:after="120"/>
        <w:ind w:firstLine="567"/>
        <w:jc w:val="both"/>
      </w:pPr>
      <w:r>
        <w:rPr>
          <w:rFonts w:ascii="Arial" w:cs="Arial" w:eastAsia="Arial" w:hAnsi="Arial"/>
          <w:sz w:val="24"/>
          <w:szCs w:val="24"/>
        </w:rPr>
        <w:t xml:space="preserve">- выделяемых из республиканского бюджета, согласно пунктам 100-103 настоящего Типового положения;</w:t>
      </w:r>
    </w:p>
    <w:p>
      <w:pPr>
        <w:spacing w:after="120"/>
        <w:ind w:firstLine="567"/>
        <w:jc w:val="both"/>
      </w:pPr>
      <w:r>
        <w:rPr>
          <w:rFonts w:ascii="Arial" w:cs="Arial" w:eastAsia="Arial" w:hAnsi="Arial"/>
          <w:sz w:val="24"/>
          <w:szCs w:val="24"/>
        </w:rPr>
        <w:t xml:space="preserve">2) по специальным счетам за счет:</w:t>
      </w:r>
    </w:p>
    <w:p>
      <w:pPr>
        <w:spacing w:after="120"/>
        <w:ind w:firstLine="567"/>
        <w:jc w:val="both"/>
      </w:pPr>
      <w:r>
        <w:rPr>
          <w:rFonts w:ascii="Arial" w:cs="Arial" w:eastAsia="Arial" w:hAnsi="Arial"/>
          <w:sz w:val="24"/>
          <w:szCs w:val="24"/>
        </w:rPr>
        <w:t xml:space="preserve">- средств, полученных в результате возврата ОАО "ГИК" основного долга согласно заключенному финансовому соглашению;</w:t>
      </w:r>
    </w:p>
    <w:p>
      <w:pPr>
        <w:spacing w:after="120"/>
        <w:ind w:firstLine="567"/>
        <w:jc w:val="both"/>
      </w:pPr>
      <w:r>
        <w:rPr>
          <w:rFonts w:ascii="Arial" w:cs="Arial" w:eastAsia="Arial" w:hAnsi="Arial"/>
          <w:sz w:val="24"/>
          <w:szCs w:val="24"/>
        </w:rPr>
        <w:t xml:space="preserve">- средств, полученных в результате возврата уполномоченным агентом основной суммы бюджетного кредита, процентов и финансовых санкций (пени);</w:t>
      </w:r>
    </w:p>
    <w:p>
      <w:pPr>
        <w:spacing w:after="120"/>
        <w:ind w:firstLine="567"/>
        <w:jc w:val="both"/>
      </w:pPr>
      <w:r>
        <w:rPr>
          <w:rFonts w:ascii="Arial" w:cs="Arial" w:eastAsia="Arial" w:hAnsi="Arial"/>
          <w:sz w:val="24"/>
          <w:szCs w:val="24"/>
        </w:rPr>
        <w:t xml:space="preserve">- средств, поступающих в виде спонсорской помощи и добровольных взносов;</w:t>
      </w:r>
    </w:p>
    <w:p>
      <w:pPr>
        <w:spacing w:after="120"/>
        <w:ind w:firstLine="567"/>
        <w:jc w:val="both"/>
      </w:pPr>
      <w:r>
        <w:rPr>
          <w:rFonts w:ascii="Arial" w:cs="Arial" w:eastAsia="Arial" w:hAnsi="Arial"/>
          <w:sz w:val="24"/>
          <w:szCs w:val="24"/>
        </w:rPr>
        <w:t xml:space="preserve">- средств, поступающих в виде благотворительной или грантовой помощи;</w:t>
      </w:r>
    </w:p>
    <w:p>
      <w:pPr>
        <w:spacing w:after="120"/>
        <w:ind w:firstLine="567"/>
        <w:jc w:val="both"/>
      </w:pPr>
      <w:r>
        <w:rPr>
          <w:rFonts w:ascii="Arial" w:cs="Arial" w:eastAsia="Arial" w:hAnsi="Arial"/>
          <w:sz w:val="24"/>
          <w:szCs w:val="24"/>
        </w:rPr>
        <w:t xml:space="preserve">- средств, поступающих в виде отчислений от международных институтов для проведения совместной научно-исследовательской работы;</w:t>
      </w:r>
    </w:p>
    <w:p>
      <w:pPr>
        <w:spacing w:after="120"/>
        <w:ind w:firstLine="567"/>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78. 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240" w:before="200"/>
        <w:jc w:val="center"/>
      </w:pPr>
      <w:r>
        <w:rPr>
          <w:rFonts w:ascii="Arial" w:cs="Arial" w:eastAsia="Arial" w:hAnsi="Arial"/>
          <w:b/>
          <w:bCs/>
          <w:sz w:val="32"/>
          <w:szCs w:val="32"/>
        </w:rPr>
        <w:t xml:space="preserve">§ 2. Порядок расходования денежных средств Фонда на реализацию проектов</w:t>
      </w:r>
    </w:p>
    <w:p>
      <w:pPr>
        <w:spacing w:after="120"/>
        <w:ind w:firstLine="567"/>
        <w:jc w:val="both"/>
      </w:pPr>
      <w:r>
        <w:rPr>
          <w:rFonts w:ascii="Arial" w:cs="Arial" w:eastAsia="Arial" w:hAnsi="Arial"/>
          <w:sz w:val="24"/>
          <w:szCs w:val="24"/>
        </w:rPr>
        <w:t xml:space="preserve">79. Исполнительный орган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12 настоящего Типового положения.</w:t>
      </w:r>
    </w:p>
    <w:p>
      <w:pPr>
        <w:spacing w:after="120"/>
        <w:ind w:firstLine="567"/>
        <w:jc w:val="both"/>
      </w:pPr>
      <w:r>
        <w:rPr>
          <w:rFonts w:ascii="Arial" w:cs="Arial" w:eastAsia="Arial" w:hAnsi="Arial"/>
          <w:sz w:val="24"/>
          <w:szCs w:val="24"/>
        </w:rPr>
        <w:t xml:space="preserve">80. Уполномоченный государственный орган по прогнозированию и исполнению бюджета утверждает годовые бюджеты Фондов.</w:t>
      </w:r>
    </w:p>
    <w:p>
      <w:pPr>
        <w:spacing w:after="120"/>
        <w:ind w:firstLine="567"/>
        <w:jc w:val="both"/>
      </w:pPr>
      <w:r>
        <w:rPr>
          <w:rFonts w:ascii="Arial" w:cs="Arial" w:eastAsia="Arial" w:hAnsi="Arial"/>
          <w:sz w:val="24"/>
          <w:szCs w:val="24"/>
        </w:rPr>
        <w:t xml:space="preserve">81. Источником формирования средств для предоставления поручительства являются средства, ежегодно предусматриваемые уполномоченным государственным органом по прогнозированию и исполнению бюджета путем их перечисления на увеличение уставного капитала уполномоченного лица по предоставлению поручительства.</w:t>
      </w:r>
    </w:p>
    <w:p>
      <w:pPr>
        <w:spacing w:after="120"/>
        <w:ind w:firstLine="567"/>
        <w:jc w:val="both"/>
      </w:pPr>
      <w:r>
        <w:rPr>
          <w:rFonts w:ascii="Arial" w:cs="Arial" w:eastAsia="Arial" w:hAnsi="Arial"/>
          <w:sz w:val="24"/>
          <w:szCs w:val="24"/>
        </w:rPr>
        <w:t xml:space="preserve">82. Уполномоченное лицо по предоставлению поручительства предоставляет поручительство субъектам, осуществляющим деятельность в регионах, городах и областях республики, за исключением городов Бишкек и Ош,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83. Исполнительный орган Фонда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ind w:firstLine="567"/>
        <w:jc w:val="both"/>
      </w:pPr>
      <w:r>
        <w:rPr>
          <w:rFonts w:ascii="Arial" w:cs="Arial" w:eastAsia="Arial" w:hAnsi="Arial"/>
          <w:sz w:val="24"/>
          <w:szCs w:val="24"/>
        </w:rPr>
        <w:t xml:space="preserve">84. 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120"/>
        <w:ind w:firstLine="567"/>
        <w:jc w:val="both"/>
      </w:pPr>
      <w:r>
        <w:rPr>
          <w:rFonts w:ascii="Arial" w:cs="Arial" w:eastAsia="Arial" w:hAnsi="Arial"/>
          <w:sz w:val="24"/>
          <w:szCs w:val="24"/>
        </w:rPr>
        <w:t xml:space="preserve">85. Исполнительный орган Фонда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ind w:firstLine="567"/>
        <w:jc w:val="both"/>
      </w:pPr>
      <w:r>
        <w:rPr>
          <w:rFonts w:ascii="Arial" w:cs="Arial" w:eastAsia="Arial" w:hAnsi="Arial"/>
          <w:sz w:val="24"/>
          <w:szCs w:val="24"/>
        </w:rPr>
        <w:t xml:space="preserve">86.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120"/>
        <w:ind w:firstLine="567"/>
        <w:jc w:val="both"/>
      </w:pPr>
      <w:r>
        <w:rPr>
          <w:rFonts w:ascii="Arial" w:cs="Arial" w:eastAsia="Arial" w:hAnsi="Arial"/>
          <w:sz w:val="24"/>
          <w:szCs w:val="24"/>
        </w:rPr>
        <w:t xml:space="preserve">87. Учет и отчетность о движении денежных средств Фонда ведутся в соответствии с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88. Финансирование социальных и инфраструктурных проектов и проектов, выдвинутых в рамках субсидирования местных общественных инициатив, осуществляется на основе двухстороннего договора, подписанного между исполнительным органом Фонда и исполнителем проекта.</w:t>
      </w:r>
    </w:p>
    <w:p>
      <w:pPr>
        <w:spacing w:after="120"/>
        <w:ind w:firstLine="567"/>
        <w:jc w:val="both"/>
      </w:pPr>
      <w:r>
        <w:rPr>
          <w:rFonts w:ascii="Arial" w:cs="Arial" w:eastAsia="Arial" w:hAnsi="Arial"/>
          <w:sz w:val="24"/>
          <w:szCs w:val="24"/>
        </w:rPr>
        <w:t xml:space="preserve">Финансирование экономических проектов осуществляется через уполномоченного агента в установленном порядке согласно законодательству Кыргызской Республики по бюджетному кредитованию и предоставлению поручительств субъектам национальной экономики.</w:t>
      </w:r>
    </w:p>
    <w:p>
      <w:pPr>
        <w:spacing w:after="120"/>
        <w:ind w:firstLine="567"/>
        <w:jc w:val="both"/>
      </w:pPr>
      <w:r>
        <w:rPr>
          <w:rFonts w:ascii="Arial" w:cs="Arial" w:eastAsia="Arial" w:hAnsi="Arial"/>
          <w:sz w:val="24"/>
          <w:szCs w:val="24"/>
        </w:rPr>
        <w:t xml:space="preserve">89. Финансирование проектов по жилищному обеспечению граждан Кыргызской Республики осуществляется на основе финансового соглашения, подписанного между исполнительным органом Фонда, ОАО "ГИК" и другими участниками проекта (при наличии).</w:t>
      </w:r>
    </w:p>
    <w:p>
      <w:pPr>
        <w:spacing w:after="120"/>
        <w:ind w:firstLine="567"/>
        <w:jc w:val="both"/>
      </w:pPr>
      <w:r>
        <w:rPr>
          <w:rFonts w:ascii="Arial" w:cs="Arial" w:eastAsia="Arial" w:hAnsi="Arial"/>
          <w:sz w:val="24"/>
          <w:szCs w:val="24"/>
        </w:rPr>
        <w:t xml:space="preserve">90. Мониторинг и контроль за выплатами по проектам осуществляется исполнительным органом Фонда. Исполнительный орган Фонда в установленном порядке представляет отчеты:</w:t>
      </w:r>
    </w:p>
    <w:p>
      <w:pPr>
        <w:spacing w:after="120"/>
        <w:ind w:firstLine="567"/>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120"/>
        <w:ind w:firstLine="567"/>
        <w:jc w:val="both"/>
      </w:pPr>
      <w:r>
        <w:rPr>
          <w:rFonts w:ascii="Arial" w:cs="Arial" w:eastAsia="Arial" w:hAnsi="Arial"/>
          <w:sz w:val="24"/>
          <w:szCs w:val="24"/>
        </w:rPr>
        <w:t xml:space="preserve">2) о реализации проектов в уполномоченный государственный орган по экономическому прогнозированию.</w:t>
      </w:r>
    </w:p>
    <w:p>
      <w:pPr>
        <w:spacing w:after="120"/>
        <w:ind w:firstLine="567"/>
        <w:jc w:val="both"/>
      </w:pPr>
      <w:r>
        <w:rPr>
          <w:rFonts w:ascii="Arial" w:cs="Arial" w:eastAsia="Arial" w:hAnsi="Arial"/>
          <w:sz w:val="24"/>
          <w:szCs w:val="24"/>
        </w:rPr>
        <w:t xml:space="preserve">91. Финансирование социальных и инфраструктурных проектов и проектов, выдвинутых в рамках субсидирования местных общественных инициатив, осуществляется траншами на основе акта выполненных работ согласно графику реализации проекта, представленного исполнителем проекта исполнительному органу Фонда.</w:t>
      </w:r>
    </w:p>
    <w:p>
      <w:pPr>
        <w:spacing w:after="120"/>
        <w:ind w:firstLine="567"/>
        <w:jc w:val="both"/>
      </w:pPr>
      <w:r>
        <w:rPr>
          <w:rFonts w:ascii="Arial" w:cs="Arial" w:eastAsia="Arial" w:hAnsi="Arial"/>
          <w:sz w:val="24"/>
          <w:szCs w:val="24"/>
        </w:rPr>
        <w:t xml:space="preserve">92. Неосвоенные на конец текущего года остатки средств Фонда в установленном порядке возвращаются в республиканский бюджет.</w:t>
      </w:r>
    </w:p>
    <w:p>
      <w:pPr>
        <w:spacing w:after="120"/>
        <w:ind w:firstLine="567"/>
        <w:jc w:val="both"/>
      </w:pPr>
      <w:r>
        <w:rPr>
          <w:rFonts w:ascii="Arial" w:cs="Arial" w:eastAsia="Arial" w:hAnsi="Arial"/>
          <w:sz w:val="24"/>
          <w:szCs w:val="24"/>
        </w:rPr>
        <w:t xml:space="preserve">93. Денежные средства Фонда, возвращенные ОАО "ГИК", являются остатками Фонда в текущем году и утверждаются как средства соответствующего Фонда в планируемом году.</w:t>
      </w:r>
    </w:p>
    <w:p>
      <w:pPr>
        <w:spacing w:after="240" w:before="200"/>
        <w:jc w:val="center"/>
      </w:pPr>
      <w:r>
        <w:rPr>
          <w:rFonts w:ascii="Arial" w:cs="Arial" w:eastAsia="Arial" w:hAnsi="Arial"/>
          <w:b/>
          <w:bCs/>
          <w:sz w:val="32"/>
          <w:szCs w:val="32"/>
        </w:rPr>
        <w:t xml:space="preserve">Глава 7. Мониторинг и оценка использования средств Фонда</w:t>
      </w:r>
    </w:p>
    <w:p>
      <w:pPr>
        <w:spacing w:after="120"/>
        <w:ind w:firstLine="567"/>
        <w:jc w:val="both"/>
      </w:pPr>
      <w:r>
        <w:rPr>
          <w:rFonts w:ascii="Arial" w:cs="Arial" w:eastAsia="Arial" w:hAnsi="Arial"/>
          <w:sz w:val="24"/>
          <w:szCs w:val="24"/>
        </w:rPr>
        <w:t xml:space="preserve">94. Мониторинг эффективности использования средств Фонда проводится на предмет:</w:t>
      </w:r>
    </w:p>
    <w:p>
      <w:pPr>
        <w:spacing w:after="120"/>
        <w:ind w:firstLine="567"/>
        <w:jc w:val="both"/>
      </w:pPr>
      <w:r>
        <w:rPr>
          <w:rFonts w:ascii="Arial" w:cs="Arial" w:eastAsia="Arial" w:hAnsi="Arial"/>
          <w:sz w:val="24"/>
          <w:szCs w:val="24"/>
        </w:rPr>
        <w:t xml:space="preserve">1) соблюдения целевого использования средств и его соответствия утвержденным планам;</w:t>
      </w:r>
    </w:p>
    <w:p>
      <w:pPr>
        <w:spacing w:after="120"/>
        <w:ind w:firstLine="567"/>
        <w:jc w:val="both"/>
      </w:pPr>
      <w:r>
        <w:rPr>
          <w:rFonts w:ascii="Arial" w:cs="Arial" w:eastAsia="Arial" w:hAnsi="Arial"/>
          <w:sz w:val="24"/>
          <w:szCs w:val="24"/>
        </w:rPr>
        <w:t xml:space="preserve">2) оценки эффективности выполнения проектов и программы кредитования;</w:t>
      </w:r>
    </w:p>
    <w:p>
      <w:pPr>
        <w:spacing w:after="120"/>
        <w:ind w:firstLine="567"/>
        <w:jc w:val="both"/>
      </w:pPr>
      <w:r>
        <w:rPr>
          <w:rFonts w:ascii="Arial" w:cs="Arial" w:eastAsia="Arial" w:hAnsi="Arial"/>
          <w:sz w:val="24"/>
          <w:szCs w:val="24"/>
        </w:rPr>
        <w:t xml:space="preserve">3) соблюдения процедур и норм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95. Исполнительный орган Фонда разрабатывает методику проведения мониторинга и оценки, которая утверждается решением Наблюдательного совета Фонда.</w:t>
      </w:r>
    </w:p>
    <w:p>
      <w:pPr>
        <w:spacing w:after="120"/>
        <w:ind w:firstLine="567"/>
        <w:jc w:val="both"/>
      </w:pPr>
      <w:r>
        <w:rPr>
          <w:rFonts w:ascii="Arial" w:cs="Arial" w:eastAsia="Arial" w:hAnsi="Arial"/>
          <w:sz w:val="24"/>
          <w:szCs w:val="24"/>
        </w:rPr>
        <w:t xml:space="preserve">96. По представлению исполнительного органа Фонда Наблюдательный совет утверждает состав мониторинговой группы Фонда. В состав мониторинговой группы входят представители Наблюдательного совета Фонда, государственных органов, органов местного самоуправления, коммерческих и некоммерческих организаций.</w:t>
      </w:r>
    </w:p>
    <w:p>
      <w:pPr>
        <w:spacing w:after="120"/>
        <w:ind w:firstLine="567"/>
        <w:jc w:val="both"/>
      </w:pPr>
      <w:r>
        <w:rPr>
          <w:rFonts w:ascii="Arial" w:cs="Arial" w:eastAsia="Arial" w:hAnsi="Arial"/>
          <w:sz w:val="24"/>
          <w:szCs w:val="24"/>
        </w:rPr>
        <w:t xml:space="preserve">97. Члены мониторинговой группы вправе запросить документы, касающиеся использования средств Фонда.</w:t>
      </w:r>
    </w:p>
    <w:p>
      <w:pPr>
        <w:spacing w:after="120"/>
        <w:ind w:firstLine="567"/>
        <w:jc w:val="both"/>
      </w:pPr>
      <w:r>
        <w:rPr>
          <w:rFonts w:ascii="Arial" w:cs="Arial" w:eastAsia="Arial" w:hAnsi="Arial"/>
          <w:sz w:val="24"/>
          <w:szCs w:val="24"/>
        </w:rPr>
        <w:t xml:space="preserve">98. Результаты мониторинга оформляются в виде отчета, где отражаются результаты мониторинга и рекомендации по устранению отклонений.</w:t>
      </w:r>
    </w:p>
    <w:p>
      <w:pPr>
        <w:spacing w:after="120"/>
        <w:ind w:firstLine="567"/>
        <w:jc w:val="both"/>
      </w:pPr>
      <w:r>
        <w:rPr>
          <w:rFonts w:ascii="Arial" w:cs="Arial" w:eastAsia="Arial" w:hAnsi="Arial"/>
          <w:sz w:val="24"/>
          <w:szCs w:val="24"/>
        </w:rPr>
        <w:t xml:space="preserve">99. Отчет мониторинговой группы заслушивается на заседаниях Наблюдательного совета Фонда не менее двух раз в год. Отчет исполнительного органа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и развитию регионов.</w:t>
      </w:r>
    </w:p>
    <w:p>
      <w:pPr>
        <w:spacing w:after="240" w:before="200"/>
        <w:jc w:val="center"/>
      </w:pPr>
      <w:r>
        <w:rPr>
          <w:rFonts w:ascii="Arial" w:cs="Arial" w:eastAsia="Arial" w:hAnsi="Arial"/>
          <w:b/>
          <w:bCs/>
          <w:sz w:val="32"/>
          <w:szCs w:val="32"/>
        </w:rPr>
        <w:t xml:space="preserve">Глава 8. Порядок распределения средств из республиканского бюджета в Фонды</w:t>
      </w:r>
    </w:p>
    <w:p>
      <w:pPr>
        <w:spacing w:after="120"/>
        <w:ind w:firstLine="567"/>
        <w:jc w:val="both"/>
      </w:pPr>
      <w:r>
        <w:rPr>
          <w:rFonts w:ascii="Arial" w:cs="Arial" w:eastAsia="Arial" w:hAnsi="Arial"/>
          <w:sz w:val="24"/>
          <w:szCs w:val="24"/>
        </w:rPr>
        <w:t xml:space="preserve">100. Распределение средств из республиканского бюджета осуществляется по двум группам:</w:t>
      </w:r>
    </w:p>
    <w:p>
      <w:pPr>
        <w:spacing w:after="120"/>
        <w:ind w:firstLine="567"/>
        <w:jc w:val="both"/>
      </w:pPr>
      <w:r>
        <w:rPr>
          <w:rFonts w:ascii="Arial" w:cs="Arial" w:eastAsia="Arial" w:hAnsi="Arial"/>
          <w:sz w:val="24"/>
          <w:szCs w:val="24"/>
        </w:rPr>
        <w:t xml:space="preserve">1) фонды развития областей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ind w:firstLine="567"/>
        <w:jc w:val="both"/>
      </w:pPr>
      <w:r>
        <w:rPr>
          <w:rFonts w:ascii="Arial" w:cs="Arial" w:eastAsia="Arial" w:hAnsi="Arial"/>
          <w:sz w:val="24"/>
          <w:szCs w:val="24"/>
        </w:rPr>
        <w:t xml:space="preserve">2) фонды развития районов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20000000 (двадцать миллионов) сомов согласно таблице.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Размеры средств, выделяемых районнымтерриториальным подразделениям из республиканского бюджета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2"/>
        <w:gridCol w:w="2528"/>
        <w:gridCol w:w="3458"/>
      </w:tblGrid>
      <w:tr>
        <w:tc>
          <w:tcPr>
            <w:tcW w:type="dxa" w:w="41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20000000(двадцать миллионов) сомов</w:t>
            </w:r>
          </w:p>
        </w:tc>
        <w:tc>
          <w:tcPr>
            <w:tcW w:type="dxa" w:w="2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средств республиканского бюджета, предоставляемая в фонды развития регионов</w:t>
            </w:r>
          </w:p>
        </w:tc>
        <w:tc>
          <w:tcPr>
            <w:tcW w:type="dxa" w:w="34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регионов, где имеются города районного значения</w:t>
            </w:r>
          </w:p>
        </w:tc>
      </w:tr>
      <w:tr>
        <w:tc>
          <w:tcPr>
            <w:tcW w:type="dxa" w:w="41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41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
 (двадцать миллионов) сомов</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41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
 (пятнадцать миллионов) сомов</w:t>
            </w:r>
          </w:p>
        </w:tc>
        <w:tc>
          <w:tcPr>
            <w:tcW w:type="dxa" w:w="3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bl>
    <w:p>
      <w:pPr>
        <w:spacing w:after="120" w:before="120"/>
        <w:ind w:firstLine="567"/>
        <w:jc w:val="both"/>
      </w:pPr>
      <w:r>
        <w:rPr>
          <w:rFonts w:ascii="Arial" w:cs="Arial" w:eastAsia="Arial" w:hAnsi="Arial"/>
          <w:sz w:val="24"/>
          <w:szCs w:val="24"/>
        </w:rPr>
        <w:t xml:space="preserve">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120"/>
        <w:ind w:firstLine="567"/>
        <w:jc w:val="both"/>
      </w:pPr>
      <w:r>
        <w:rPr>
          <w:rFonts w:ascii="Arial" w:cs="Arial" w:eastAsia="Arial" w:hAnsi="Arial"/>
          <w:sz w:val="24"/>
          <w:szCs w:val="24"/>
        </w:rPr>
        <w:t xml:space="preserve">101. Уполномоченный государственный орган по прогнозированию и исполнению бюджета ежемесячно утверждает кассовый план согласно заявкам исполнительных органов Фондов. Исполнительные органы Фондов открывают кассовый план согласно представленным заявкам и осуществляют финансирование проектов.</w:t>
      </w:r>
    </w:p>
    <w:p>
      <w:pPr>
        <w:spacing w:after="120"/>
        <w:ind w:firstLine="567"/>
        <w:jc w:val="both"/>
      </w:pPr>
      <w:r>
        <w:rPr>
          <w:rFonts w:ascii="Arial" w:cs="Arial" w:eastAsia="Arial" w:hAnsi="Arial"/>
          <w:sz w:val="24"/>
          <w:szCs w:val="24"/>
        </w:rPr>
        <w:t xml:space="preserve">102. Исполнительный орган Фонда производит своевременное и полное финансирование расходов за счет средств республиканского бюджета согласно утвержденной смете расходов.</w:t>
      </w:r>
    </w:p>
    <w:p>
      <w:pPr>
        <w:spacing w:after="120"/>
        <w:ind w:firstLine="567"/>
        <w:jc w:val="both"/>
      </w:pPr>
      <w:r>
        <w:rPr>
          <w:rFonts w:ascii="Arial" w:cs="Arial" w:eastAsia="Arial" w:hAnsi="Arial"/>
          <w:sz w:val="24"/>
          <w:szCs w:val="24"/>
        </w:rPr>
        <w:t xml:space="preserve">103. 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240" w:before="200"/>
        <w:jc w:val="center"/>
      </w:pPr>
      <w:r>
        <w:rPr>
          <w:rFonts w:ascii="Arial" w:cs="Arial" w:eastAsia="Arial" w:hAnsi="Arial"/>
          <w:b/>
          <w:bCs/>
          <w:sz w:val="32"/>
          <w:szCs w:val="32"/>
        </w:rPr>
        <w:t xml:space="preserve">Глава 9. Конфликт интересов</w:t>
      </w:r>
    </w:p>
    <w:p>
      <w:pPr>
        <w:spacing w:after="120"/>
        <w:ind w:firstLine="567"/>
        <w:jc w:val="both"/>
      </w:pPr>
      <w:r>
        <w:rPr>
          <w:rFonts w:ascii="Arial" w:cs="Arial" w:eastAsia="Arial" w:hAnsi="Arial"/>
          <w:sz w:val="24"/>
          <w:szCs w:val="24"/>
        </w:rPr>
        <w:t xml:space="preserve">104. В случае если члены Наблюдательного совета Фонда, Исполнительного органа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ak78bpktkyeu2oox05df" Type="http://schemas.openxmlformats.org/officeDocument/2006/relationships/hyperlink" Target="http://kodeks.duckdns.org/document/230014982" TargetMode="External"/><Relationship Id="rIdhnkvmrsd3fvls45pxmpdn" Type="http://schemas.openxmlformats.org/officeDocument/2006/relationships/hyperlink" Target="http://kodeks.duckdns.org/document/23004188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2026-09-23T07:41:02.226Z</dcterms:created>
  <dcterms:modified xsi:type="dcterms:W3CDTF">2026-09-23T07:41:02.226Z</dcterms:modified>
</cp:coreProperties>
</file>

<file path=docProps/custom.xml><?xml version="1.0" encoding="utf-8"?>
<Properties xmlns="http://schemas.openxmlformats.org/officeDocument/2006/custom-properties" xmlns:vt="http://schemas.openxmlformats.org/officeDocument/2006/docPropsVTypes"/>
</file>