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oyox9edsaurccp8ret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октября 2024 года № 604)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обеспечения прослеживаемости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требования к процессу прослеживаемости лекарственных средств и медицинских изделий, производимых, ввозимых и реализуемых на территории Кыргызской Республики, к участникам оборота лекарственных средств и медицинских изделий, порядок регистрации участников оборота в информационной системе "Электронная база данных лекарственных средств и медицинских изделий" и информационного обмена участников оборота, порядок предоставления кодов цифровой маркировки участникам оборота в информационной системе "Электронная база данных лекарственных средств и медицинских изделий", требования к нанесению кода цифровой маркировки на лекарственные средства и медицинские изделия, подлежащие прослеживаемости, порядок предоставления сведений в информационной системе "Электронная база данных лекарственных средств и медицинских изделий" о вводе лекарственных средств и медицинских изделий в оборот, находящихся в обороте и выводе из оборота, и внесения в них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Порядка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агрегирование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 иерархического отношения между наружной упаковкой, имеющей уникальный идентификационный код, и содержащимися в ней произведенными продуктами, также имеющими уникальный идентификационный код, для усовершенствования рабочих процессов, связанных с сериализацией и предусматривающих обмен данными и/или выполнение требований нормативных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и результаты определения, присвоения и нанесения уникальных кодов на упаковку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ввод в оборот лекарственных средств 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первичная регистрация кода цифровой маркировки лекарственных средств и медицинских изделий в системе прослеживаемости;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вывод из оборота лекарственных средств и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 - прекращение действия регистрации кода цифровой маркировки лекарственных средств и медицинских изделий в системе прослеживаемости в отношении конкретной единицы лекарственного средства и медицинского изделия при достижении конечного потребителя или уничтожении;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непосредственно соприкасающаяся с лекарственным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(наружная или потребительская)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 промежуточной упаковке;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объединяющая наборы однородных (в рамках одного кода упаковки лекарственного средства, также называемого GTIN (Global Trade Item Number) - глобальный номер товарной продукции в единой международной базе товаров, наносится на упаковку товара по стандартизированным правилам в виде штрихового кода) вторичных (а при их отсутствии - первичных) потребительских упаковок лекарственных средств, используемых для хранения и транспортировки с целью защиты их от повреждений при перемещении, и образующая самостоятельную транспортную единицу. На групповую упаковку наносится код агрегации. Групповая упаковка может включать транспортные упаковки меньшего размера (объема);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номер упаковки (код сериализации)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уникально идентифицирующая вторичную упаковку лекарственного средства и упаковку медицинского изделия в рамках одного кода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упаковки лекарственного средства и медицинского изделия (GTIN)</w:t>
      </w:r>
      <w:r>
        <w:rPr>
          <w:rFonts w:ascii="Arial" w:cs="Arial" w:eastAsia="Arial" w:hAnsi="Arial"/>
          <w:sz w:val="24"/>
          <w:szCs w:val="24"/>
        </w:rPr>
        <w:t xml:space="preserve"> - код, присваиваемый ассоциацией GS1 (GS1 - ведущая международная организация, которая управляет многоотраслевой системой товарной нумерации. GS1 разрабатывает стандарты штрихового кодирования и решения, направленные на повышение эффективности и прозрачности цепей поставок во всем мире) лекарственному средству и медицинскому изделию в соответствии с правилами, установленными GS1, обеспечивающий учет лекарственного средства и медицинского изделия в государственном реестре лекарственных средств и медицинских изделий и глобальном каталоге GS1;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двумерного штрихового кода Data Matrix (код Data Matrix - двумерный матричный штрихкод, представляющий собой черно-белые элементы или элементы нескольких различных степеней яркости, обычно в форме квадрата, размещенные в прямоугольной или квадратной группе);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агрегации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представляющая собой уникальный экземпляр групповой упаковки;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маркировки на упаковку лекарственного средства и медицинского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передачи данных</w:t>
      </w:r>
      <w:r>
        <w:rPr>
          <w:rFonts w:ascii="Arial" w:cs="Arial" w:eastAsia="Arial" w:hAnsi="Arial"/>
          <w:sz w:val="24"/>
          <w:szCs w:val="24"/>
        </w:rPr>
        <w:t xml:space="preserve"> - формализованный набор требований к структуре информационных сообщений и алгоритму обмена сообщениями между программами и/или устройствами;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 кода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состояние кода прослеживаемости, определяемое информационной системой "Электронная база данных лекарственных средств и медицинских изделий", которое изменяется при реализации процессов, предусмотренных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прослеживаемых лекарственных средств и медицинских изделий (далее - участник оборота)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фармацевтическую или медицинскую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стикер</w:t>
      </w:r>
      <w:r>
        <w:rPr>
          <w:rFonts w:ascii="Arial" w:cs="Arial" w:eastAsia="Arial" w:hAnsi="Arial"/>
          <w:sz w:val="24"/>
          <w:szCs w:val="24"/>
        </w:rPr>
        <w:t xml:space="preserve"> - носитель информации, предназначенный для нанесения кода цифровой маркировки на упаковку лекарственных средств и медицинских изделий способом, не допускающим его отделения от упаковки без его повреждения;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 (далее ИС ЭБД ЛС и МИ)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 ЭБД ЛС и МИ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обращения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лекарственные средства и медицинские изделия, находящиеся в обращении на территории Кыргызской Республики и подлежащие прослеживанию.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не распространяется на лекарственные средства и медицинские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на временном хранении либо помещенные под таможенную процедуру таможенного склада;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иностранной продукции от таможенного органа в месте прибытия до таможенного органа в месте убытия;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иностранных лекарственных средств и медицинских изделий от таможенного органа в месте прибытия до внутреннего таможенного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помещаемые под таможенные процедуры в целях дальнейшего вывоза за пределы таможенной территории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производимые в целях вывоза на территорию государств-членов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помещаемые под таможенную процедуру свободного склада;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предназначенные для проведения испытаний в целях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ввозимые на территорию Кыргызской Республики или произведенные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ввозимые в Кыргызскую Республику физическими лицами и приобретенные ими для личного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предназначенные для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маркировке товаров средствами идентификации в Евразийском экономическом союзе, подписанного 2 февраля 2018 года в городе Алматы.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Прослеживаемость лекарственных средств и медицинских изделий обеспечивается путем передачи данных в ИС ЭБД ЛС и МИ о вводе лекарственных средств и медицинских изделий в оборот, с последующим считыванием и распознаванием кодов цифровой маркировки участниками оборота при движении лекарственных средств и медицинских изделий от одного участника другому участнику оборота до вывода из оборота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ЭБД ЛС и МИ является информационной системой, обеспечивающей учет движения лекарственных средств и медицинских изделий на территории Кыргызской Республики. Функционирование ИС ЭБД ЛС и МИ обеспечивает оператор ИС ЭБД ЛС и 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обеспечивает возможность регистрации и хранения в ИС ЭБД ЛС и МИ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участниках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лекарственных средствах и медицинских изделиях, подлежащих обязательной прослеживаемости;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цифровой маркировки лекарственных средств и медицинских изделий, предоставленных участникам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нарушениях требований об обязательной прослеживаемости лекарственных средств и медицинских изделий, выявленных потребителями;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вводе в оборот, о движении прослеживаемых лекарственных средств и медицинских изделий и их выводе из 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текущем статусе прослеживаемых лекарственных средств и медицинских изделий,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 лекарственного средства, о качестве и безопасности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отзыве лекарственного средства и медицинского изделия с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применении лекарственного средства и медицинского изделия, включая инструкцию о медицинском применении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взаимодействие участников оборота лекарственных средств и медицинских изделий с ИС ЭБД ЛС и МИ осуществляется с использованием протоколов передачи данных путем обмена сообщениями, формат которых размещается в ИС ЭБД ЛС и 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оборота должны быть зарегистрированы (иметь учетную запись) в ИС ЭБД ЛС и МИ и иметь оборудование для нанесения, считывания и распознавания кодов цифровой маркировки.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участников оборота в ИС ЭБД ЛС и МИ и предоставление им доступа к личному кабинету осуществляются на основании действующей лицензии на фармацевтическую или медицинскую деятельность или на основании аккредитации.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оборота предоставляется учетная запись, которая используется для работы с личным кабинетом, а также для подключения информационных систем с целью обмена сообщениями (интеграции).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оборота обязуется предоставить адрес электронной почты и номер телефона. Участник оборота несет ответственность за доступ к учетной записи, включая добавление пользователей и изменение их прав доступа к функциям ИС ЭБД ЛС и МИ, управление паролями и иные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полноту, достоверность и своевременность направляемых в ИС ЭБД ЛС и МИ сведений несут участники оборота, предоставляющие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участника оборота к ИС ЭБД ЛС и МИ прекращается при наличии одного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действия лицензии на фармацевтическую или медицинскую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деятельности юридического лица или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кодов цифровой маркировки осуществляется производителями лекарственных средств и медицинских изделий или оператором ИС ЭБД ЛС и МИ. В случае выпуска кодов цифровой маркировки оператором ИС ЭБД ЛС и МИ выдача кодов из ИС ЭБД ЛС и МИ является бесплатной.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нанесения кодов цифровой маркировки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кодов цифровой маркировки обеспечивается держателями регистрационных удостоверений, производителями, уполномоченными представительствами иностранных производителей и (или) филиалами или дочерними организациями на территории Кыргызской Республики, или импортерами, осуществляющими ввоз лекарственных средств и медицинских изделий на территорию Кыргызской Республики, при отсутствии у иностранного производителя представительства или филиала, или дочерней организации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Субъекты, перечисленные в пункте 14 настоящего Порядка, должны обеспечить соблюдение требований к составу и нанесению кода цифровой маркировки, предусмотренных в </w:t>
      </w:r>
      <w:hyperlink w:history="1" r:id="rIdusozlrg7mpvlrmpzby2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Код цифровой маркировки наносится на упаковку с использованием одного из следующих методов: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прямое нанесение кода цифровой маркировки при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непрямое нанесение (стикерирование) - осуществляется с применением кода цифровой маркировки на самоклеющейся бумаге в виде стикера.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прослеживаемости лекарственных средств, маркированных кодами цифровой идентификации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в оборот лекарственных средств и медицинских изделий с кодами цифровой маркировки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производстве лекарственных средств и медицинских изделий на территории Кыргызской Республики - путем направления производителем в ИС ЭБД ЛС и МИ уведомления о производстве лекарственного средства и медицинских изделий по форме, утверждаемой уполномоченным органом, с подтверждением кодов цифровой маркировки при передаче произведенных лекарственных средств и медицинских изделий на склад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лекарственных средств и медицинских изделий с территории государств, не являющихся государствами-членами ЕАЭС - путем направления участником оборота в ИС ЭБД ЛС и МИ уведомления о ввозе в Кыргызскую Республику лекарственных средств и медицинских изделий для внутреннего потребления по форме, утверждаемой уполномоченным органом, после выпуска таможенными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лекарственных средств и медицинских изделий с территории государств-членов ЕАЭС - путем направления участником оборота (импортером или дистрибьютором) в ИС ЭБД ЛС и МИ уведомления о принятии на склад ввезенных лекарственных средств и медицинских изделий по форме, утверждаемой уполномоченным органом, с подтверждением кодов прослеживаемости.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движения лекарственных средств и медицинских изделий с кодами цифровой маркировки на территории Кыргызской Республики осуществляется путем регистрации в ИС ЭБД ЛС и МИ уведомлений от участников оборота о передаче и (или) реализации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передаче и (или) реализации лекарственных средств и медицинских изделий с кодами цифровой маркировки другому участнику оборота отправитель лекарственных средств и медицинских изделий формирует уведомление об их отгрузке по форме, утверждаемой уполномоченным органом, и направляет в ИС ЭБД ЛС и МИ в момент фактической их передачи и (или)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оборота, осуществляющий приемку лекарственных средств и медицинских изделий, обеспечивает передачу в ИС ЭБД ЛС и МИ уведомления о приемке лекарственных средств и медицинских изделий по форме, утверждаемой уполномоченным органом, в момент фактической приемки.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выявлении расхождений при приемке лекарственных средств и медицинских изделий получатель формирует уведомление о выявленных расхождениях по форме, утверждаемой уполномоченным органом, и направляет его отправителю, передавшему и (или) реализовавшему лекарственные средства и медицинские изделия, для внесения изменений в ранее отправленное уведомление об отгрузке.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Вывод лекарственных средств и медицинских изделий из оборота с кодами цифровой маркировки осуществляется участником оборота при отборе образцов, отпуске, розничной реализации, выдаче для медицинского применения, экспорте, реэкспорте, утрате, уничтожении, конфискации путем направления уведомления в ИС ЭБД ЛС и МИ в момент фактического совершения вышеперечисленных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повторного ввода в оборот лекарственных средств и медицинских изделий, ранее выведенных из оборота по причинам, указанным в пункте 22 настоящего Порядка, а именно при экспорте, реэкспорте и возврате конфискованных лекарственных средств и медицинских изделий, участник оборота направляет в ИС ЭБД ЛС и МИ уведомление о повторном вводе в оборот лекарственных средств и медицинских изделий по форме, утверждаемой уполномоченным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Доступ к информации, размещенной в ИС ЭБД ЛС и 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 ЭБД ЛС и МИ потребители имеют возможность проверить посредством мобильного приложения следующую информацию о лекарственном средстве и медицинском изделии по нанесенному коду цифровой маркировки: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статус лекарственного средства и медицинского изделия (находится в обороте/выведен из оборота);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производителе;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отпуска;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годности;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заключения о качестве для лекарственных средств/заключение о качестве и безопасности для медицинских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инструкцию по медицинскому применению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обеспечения прослеживаемости лекарственных средств и медицинских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составу и нанесению кодов прослеживаемости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составу кодов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информационную систему "Электронная база данных лекарственных средств и медицинских изделий" (далее - ИС ЭБД ЛС и МИ) могут загружаться коды цифровой маркировки различного состава при условии, что они отвечают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элементы (блоки) кода цифровой маркировки соответствуют стандарту "GS1 Application Identifiers" www.gs1.org/standards/barcodes/application-identifiers (коды применения GS1);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первым элементом кода цифровой маркировки является код лекарственного средства и медицинского изделия (GTIN), состоящий из 14 цифр и указанный в ИС ЭБД ЛС и МИ. Кодом применения данного элемента (AI) в соответствии со стандартом GS1 является "01". При использовании кодов EAN (13 цифр) они дополняются "0" слева;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вторым элементом кода цифровой маркировки является индивидуальный серийный номер упаковки. Кодом применения данного элемента (AI) в соответствии со стандартом GS1 является "21". Серийный номер упаковки является уникальным для кода лекарственного средства и медицинского изделия. Завершающим символом второго элемента является символ - разделитель с кодом 232 (FNC1) либо 29 (GS) в таблице символов ASCII;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прочие элементы кода могут быть любыми (включая электронно-цифровую подпись) при условии, что они соответствуют стандарту GS1 и обозначены соответствующими кодами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целевой маркировке лекарственных средств и медицинских изделий для реализации в Кыргызской Республике рекомендуется придерживаться следующего состава кодов цифровой маркировки: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7"/>
        <w:gridCol w:w="1552"/>
        <w:gridCol w:w="2614"/>
        <w:gridCol w:w="2320"/>
        <w:gridCol w:w="2206"/>
      </w:tblGrid>
      <w:tr>
        <w:tc>
          <w:tcPr>
            <w:tcW w:type="dxa" w:w="1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AI (код применения)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или GS (ASCII 29)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Означает, что код соответствует стандарту GS1 Data Matrix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продукта 14 цифр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 код продукта. В случае 13-значного кода (EAN) дополняется слева нулем (0) до 14 знаков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08699536090115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 (рекомендуется минимальная длина 14 символов), состоящий из цифр [0-9] и/или заглавных латинских букв [А-Z]. Использование только букв или только цифр допустимо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 предоставляется ИС ЭБД ЛC и МИ либо формируется производителем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5UNDALD3W6K44YIH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или GS (ASCII 29)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окончание блока данных уникального номера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фиксированной длины 6 цифр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день срока годности в формате YYMMDD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270131</w:t>
            </w:r>
          </w:p>
        </w:tc>
      </w:tr>
      <w:tr>
        <w:tc>
          <w:tcPr>
            <w:tcW w:type="dxa" w:w="1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партии (серии)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длины, состоящий из цифр [0-9] и/или заглавных латинских букв [A-Z]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производственной партии (серии продукта)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нанесению кодов прослеживаемости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цифровой маркировки лекарственных средств и медицинских изделий используется нанесенный на упаковку код, представленный в виде двумерного штрихового кода GS1 Data Matrix, пригодного для машинного считывания.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облегчения визуального контроля правильности считывания вместе с двумерным штриховым кодом наносится человекочитаемая информация (HRI), включающая элементы: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GTIN (обязательно);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уникальный номер упаковки (обязательно);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годности упаковки (необязательно);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производственной партии (серии) лекарственного средства и медицинского изделия (необязательно). Печатные обозначения (метки) вышеперечисленных элементов при нанесении человекочитаемой информации не регламентируются.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Нанесенный на упаковку двумерный штриховой код отвечает следующим техническим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стандарту ISO/IEC 16022:2006 (Data Matrix bar code symbology specification);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нанесен с уровнем класса качества С или выше в соответствии со стандартами ISO/IEC 15415:2011, ISO 22742:2005;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использована функция распознавания и коррекции ошибок не ниже чем Data Matrix ЕСС200;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 на ровную белую поверхность с достаточным контрастом;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обеспечена устойчивость печати к выцветанию до конца срока годности при соблюдении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использовании стикеров обеспечена невозможность отделения стикера от упаковки без его повреждения.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Оборудование для считывания двумерных штриховых кодов должно позволять осуществлять считывание кодов, нанесенных в соответствии со стандартами ISO/IEC 15415:2011, ISO 22742:2005.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 цифровой маркировки, нанесенный на упаковку, не может быть использован (сформирован) повторно.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Код цифровой маркировки групповой упаковки формируется участником оборота, осуществляющим агрегирование (объединение) потребительских упаковок лекарственных средств и упаковок медицинских изделий в групповую упаковку, самостоятельно в формате линейного штрихового кода, соответствующего стандарту международной организации в области стандартизации учета и штрихового кодирования логистических единиц ГС 1-128, с уникальным идентификатором групповой упаковки в качестве серийного кода, представленного в виде цифрового номера SSCC код (ССЦЦ код), и идентифицируется кодом применения АI = "00".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 цифровой маркировки групповой упаковки наносится на лицевую или боковую часть каждой отдельной групповой упаковки по усмотрению участника оборота для удобства и упрощения агрегации товара.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afxn0wwrlwyfgtca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dalil.kg/document/230015008</w:t>
      </w:r>
    </w:hyperlink>
  </w:p>
  <w:p>
    <w:pPr>
      <w:spacing w:after="0" w:before="40"/>
      <w:jc w:val="center"/>
    </w:pPr>
    <w:hyperlink w:history="1" r:id="rIdgvk744afwl6boklz-y9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yox9edsaurccp8retgm" Type="http://schemas.openxmlformats.org/officeDocument/2006/relationships/hyperlink" Target="https://dalil.kg/document/230015005" TargetMode="External"/><Relationship Id="rIdusozlrg7mpvlrmpzby2hk" Type="http://schemas.openxmlformats.org/officeDocument/2006/relationships/hyperlink" Target="https://dalil.kg/document/23001500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afxn0wwrlwyfgtcanmm" Type="http://schemas.openxmlformats.org/officeDocument/2006/relationships/hyperlink" Target="https://dalil.kg/document/230015008" TargetMode="External"/><Relationship Id="rIdgvk744afwl6boklz-y9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2026-09-24T16:20:00.201Z</dcterms:created>
  <dcterms:modified xsi:type="dcterms:W3CDTF">2026-09-24T16:20:00.201Z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