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17 октября 2024 года № 624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некоторые решения Правительства Кыргызской Республики и Кабинета Министров Кыргызской Республики в сфере культуры, информации, спорта и молодежной политики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постановлений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 от </w:t>
      </w:r>
      <w:hyperlink w:history="1" r:id="rId9cjajywe23dcvj_fsuty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17 сентября 2025 года № 586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m7ck_2gq1bfm29c9w-ap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апреля 2026 года № 290</w:t>
        </w:r>
      </w:hyperlink>
      <w:r>
        <w:rPr>
          <w:rFonts w:ascii="Arial" w:cs="Arial" w:eastAsia="Arial" w:hAnsi="Arial"/>
          <w:sz w:val="24"/>
          <w:szCs w:val="24"/>
        </w:rPr>
        <w:t xml:space="preserve">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урегулирования вопросов, связанных с определением предельной численности и условий оплаты труда работников государственного учреждения "Центр развития этнокультуры, конноспортивной индустрии и племенного коневодства" при Министерстве культуры, информации, спорта и молодежной политики Кыргызской Республики, в соответствии со </w:t>
      </w:r>
      <w:hyperlink w:history="1" r:id="rIde_ywmlvfaz2am6ylvmk5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115</w:t>
        </w:r>
      </w:hyperlink>
      <w:r>
        <w:rPr>
          <w:rFonts w:ascii="Arial" w:cs="Arial" w:eastAsia="Arial" w:hAnsi="Arial"/>
          <w:sz w:val="24"/>
          <w:szCs w:val="24"/>
        </w:rPr>
        <w:t xml:space="preserve"> Бюджетного кодекса Кыргызской Республики, статьями </w:t>
      </w:r>
      <w:hyperlink w:history="1" r:id="rIdkhqtate0t_ivjzcgk5du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z5fhczj6zfys8sszdiys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ttu3odj2ujnkr_ltb_s0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 от 17 сентября 2025 года № 586)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icktyrj_zt_e1_zlqv_s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25 апреля 2026 года № 290)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Внести в </w:t>
      </w:r>
      <w:hyperlink w:history="1" r:id="rId9jh2ryhqhszqasnahjr0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реорганизации государственного предприятия "Центр развития этнокультуры, конноспортивной индустрии и племенного коневодства" при Министерстве культуры, информации, спорта и молодежной политики Кыргызской Республики" от 24 июня 2024 года № 326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4 признать утратившим силу.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Министерству культуры, информации, спорта и молодежной политики Кыргызской Республики принять необходимые меры, вытекающие из настоящего постановления.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Министерству финансов Кыргызской Республики в установленном порядке: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 согласованию с Комитетом по бюджету, экономической и фискальной политике Жогорку Кенеша Кыргызской Республики выделить государственному учреждению "Центр развития этнокультуры, конноспортивной индустрии и племенного коневодства" при Министерстве культуры, информации, спорта и молодежной политики Кыргызской Республики дополнительные средства в 2024 году в размере 9552100 (девять миллионов пятьсот пятьдесят две тысячи сто) сомов;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при подготовке проекта Закона Кыргызской Республики "О внесении изменений в </w:t>
      </w:r>
      <w:hyperlink w:history="1" r:id="rId9ktcy2mogu2q0yxt5nmt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республиканском бюджете Кыргызской Республики на 2024 год и плановый период 2025-2026 годов" учесть соответствующие изменения, вытекающие из настоящего постановления;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предусмотреть государственному учреждению "Центр развития этнокультуры, конноспортивной индустрии и племенного коневодства" при Министерстве культуры, информации, спорта и молодежной политики Кыргызской Республики средства на 2025 год в размере 16276300 (шестнадцать миллионов двести семьдесят шесть тысяч триста) сомов;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принять меры по погашению кредиторской задолженности реорганизуемого юридического лица после утверждения передаточного акта реорганизуемого юридического лица.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Настоящее постановление вступает в силу со дня официального опубликования, за исключением пунктов 1, 2, которые вступают в силу с 5 июля 2024 года.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Опубликовано в официальной государственной газете "Эркин Тоо" от 22 октября 2024 года № 82 (3636)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А.У. Жапаров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</w:t>
      </w:r>
      <w:r>
        <w:rPr>
          <w:rFonts w:ascii="Arial" w:cs="Arial" w:eastAsia="Arial" w:hAnsi="Arial"/>
          <w:sz w:val="24"/>
          <w:szCs w:val="24"/>
        </w:rPr>
        <w:t xml:space="preserve">2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wlhsbr8yjhwe-qoeat0l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</w:t>
        </w:r>
      </w:hyperlink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КОЭФФИЦИЕНТЫ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кратности к должностному окладу работников государственного учреждения "Центр развития этнокультуры, конноспортивной индустрии и племенного коневодства" при Министерстве культуры, информации, спорта и молодежной политики Кыргызской Республики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739"/>
        <w:gridCol w:w="4721"/>
        <w:gridCol w:w="4719"/>
      </w:tblGrid>
      <w:tr>
        <w:tc>
          <w:tcPr>
            <w:tcW w:type="dxa" w:w="73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472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должности</w:t>
            </w:r>
          </w:p>
        </w:tc>
        <w:tc>
          <w:tcPr>
            <w:tcW w:type="dxa" w:w="471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Коэффициенты кратности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Административно-управленческий персонал</w:t>
            </w:r>
          </w:p>
        </w:tc>
      </w:tr>
      <w:tr>
        <w:tc>
          <w:tcPr>
            <w:tcW w:type="dxa" w:w="7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7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Директор</w:t>
            </w:r>
          </w:p>
        </w:tc>
        <w:tc>
          <w:tcPr>
            <w:tcW w:type="dxa" w:w="47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3,00</w:t>
            </w:r>
          </w:p>
        </w:tc>
      </w:tr>
      <w:tr>
        <w:tc>
          <w:tcPr>
            <w:tcW w:type="dxa" w:w="7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7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Заместитель директора</w:t>
            </w:r>
          </w:p>
        </w:tc>
        <w:tc>
          <w:tcPr>
            <w:tcW w:type="dxa" w:w="47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2,50</w:t>
            </w:r>
          </w:p>
        </w:tc>
      </w:tr>
      <w:tr>
        <w:tc>
          <w:tcPr>
            <w:tcW w:type="dxa" w:w="7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47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бухгалтер</w:t>
            </w:r>
          </w:p>
        </w:tc>
        <w:tc>
          <w:tcPr>
            <w:tcW w:type="dxa" w:w="47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2,20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Основной и вспомогательный персонал</w:t>
            </w:r>
          </w:p>
        </w:tc>
      </w:tr>
      <w:tr>
        <w:tc>
          <w:tcPr>
            <w:tcW w:type="dxa" w:w="7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47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Зоотехник</w:t>
            </w:r>
          </w:p>
        </w:tc>
        <w:tc>
          <w:tcPr>
            <w:tcW w:type="dxa" w:w="47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1,90</w:t>
            </w:r>
          </w:p>
        </w:tc>
      </w:tr>
      <w:tr>
        <w:tc>
          <w:tcPr>
            <w:tcW w:type="dxa" w:w="7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47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Агроном</w:t>
            </w:r>
          </w:p>
        </w:tc>
        <w:tc>
          <w:tcPr>
            <w:tcW w:type="dxa" w:w="47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1,90</w:t>
            </w:r>
          </w:p>
        </w:tc>
      </w:tr>
      <w:tr>
        <w:tc>
          <w:tcPr>
            <w:tcW w:type="dxa" w:w="7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47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Инженер</w:t>
            </w:r>
          </w:p>
        </w:tc>
        <w:tc>
          <w:tcPr>
            <w:tcW w:type="dxa" w:w="47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1,90</w:t>
            </w:r>
          </w:p>
        </w:tc>
      </w:tr>
      <w:tr>
        <w:tc>
          <w:tcPr>
            <w:tcW w:type="dxa" w:w="7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47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Экономист</w:t>
            </w:r>
          </w:p>
        </w:tc>
        <w:tc>
          <w:tcPr>
            <w:tcW w:type="dxa" w:w="47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1,90</w:t>
            </w:r>
          </w:p>
        </w:tc>
      </w:tr>
      <w:tr>
        <w:tc>
          <w:tcPr>
            <w:tcW w:type="dxa" w:w="7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47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Бухгалтер</w:t>
            </w:r>
          </w:p>
        </w:tc>
        <w:tc>
          <w:tcPr>
            <w:tcW w:type="dxa" w:w="47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1,90</w:t>
            </w:r>
          </w:p>
        </w:tc>
      </w:tr>
      <w:tr>
        <w:tc>
          <w:tcPr>
            <w:tcW w:type="dxa" w:w="7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47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Инспектор по кадрам</w:t>
            </w:r>
          </w:p>
        </w:tc>
        <w:tc>
          <w:tcPr>
            <w:tcW w:type="dxa" w:w="47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1,90</w:t>
            </w:r>
          </w:p>
        </w:tc>
      </w:tr>
      <w:tr>
        <w:tc>
          <w:tcPr>
            <w:tcW w:type="dxa" w:w="7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47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Юрист</w:t>
            </w:r>
          </w:p>
        </w:tc>
        <w:tc>
          <w:tcPr>
            <w:tcW w:type="dxa" w:w="47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1,90</w:t>
            </w:r>
          </w:p>
        </w:tc>
      </w:tr>
      <w:tr>
        <w:tc>
          <w:tcPr>
            <w:tcW w:type="dxa" w:w="7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47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 по госзакупкам</w:t>
            </w:r>
          </w:p>
        </w:tc>
        <w:tc>
          <w:tcPr>
            <w:tcW w:type="dxa" w:w="47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1,80</w:t>
            </w:r>
          </w:p>
        </w:tc>
      </w:tr>
      <w:tr>
        <w:tc>
          <w:tcPr>
            <w:tcW w:type="dxa" w:w="7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47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Оператор-программист (IT)</w:t>
            </w:r>
          </w:p>
        </w:tc>
        <w:tc>
          <w:tcPr>
            <w:tcW w:type="dxa" w:w="47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1,80</w:t>
            </w:r>
          </w:p>
        </w:tc>
      </w:tr>
    </w:tbl>
    <w:p>
      <w:pPr>
        <w:spacing w:after="60" w:before="12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".</w:t>
      </w:r>
    </w:p>
    <w:p>
      <w:pPr>
        <w:spacing w:after="120" w:before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9cjajywe23dcvj_fsutyd" Type="http://schemas.openxmlformats.org/officeDocument/2006/relationships/hyperlink" Target="http://kodeks.duckdns.org/document/230032682" TargetMode="External"/><Relationship Id="rIdm7ck_2gq1bfm29c9w-apq" Type="http://schemas.openxmlformats.org/officeDocument/2006/relationships/hyperlink" Target="http://kodeks.duckdns.org/document/230045116" TargetMode="External"/><Relationship Id="rIde_ywmlvfaz2am6ylvmk5x" Type="http://schemas.openxmlformats.org/officeDocument/2006/relationships/hyperlink" Target="http://kodeks.duckdns.org/document/111338#st_115" TargetMode="External"/><Relationship Id="rIdkhqtate0t_ivjzcgk5dud" Type="http://schemas.openxmlformats.org/officeDocument/2006/relationships/hyperlink" Target="http://kodeks.duckdns.org/document/112301#st_13" TargetMode="External"/><Relationship Id="rIdz5fhczj6zfys8sszdiys8" Type="http://schemas.openxmlformats.org/officeDocument/2006/relationships/hyperlink" Target="http://kodeks.duckdns.org/document/112301#st_17" TargetMode="External"/><Relationship Id="rIdttu3odj2ujnkr_ltb_s0i" Type="http://schemas.openxmlformats.org/officeDocument/2006/relationships/hyperlink" Target="http://kodeks.duckdns.org/document/230032682" TargetMode="External"/><Relationship Id="rIdicktyrj_zt_e1_zlqv_sq" Type="http://schemas.openxmlformats.org/officeDocument/2006/relationships/hyperlink" Target="http://kodeks.duckdns.org/document/230045116" TargetMode="External"/><Relationship Id="rId9jh2ryhqhszqasnahjr0l" Type="http://schemas.openxmlformats.org/officeDocument/2006/relationships/hyperlink" Target="http://kodeks.duckdns.org/document/230009782" TargetMode="External"/><Relationship Id="rId9ktcy2mogu2q0yxt5nmt4" Type="http://schemas.openxmlformats.org/officeDocument/2006/relationships/hyperlink" Target="http://kodeks.duckdns.org/document/230000489" TargetMode="External"/><Relationship Id="rIdwlhsbr8yjhwe-qoeat0li" Type="http://schemas.openxmlformats.org/officeDocument/2006/relationships/hyperlink" Target="http://kodeks.duckdns.org/document/159113#pr10_3" TargetMode="External"/><Relationship Id="rId7" Type="http://schemas.openxmlformats.org/officeDocument/2006/relationships/image" Target="media/93bec1c1538034512fe33c1434ae0ea86b639d33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2026-09-23T10:44:34.902Z</dcterms:created>
  <dcterms:modified xsi:type="dcterms:W3CDTF">2026-09-23T10:44:34.902Z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