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пропуска транспортных средств по автомобильным дорогам общего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пользования Кыргызской Республики и взимания сборов за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взвешивание и измерение максимальных размеров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других линейных параметров транспортных средств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превышающими нормами, установленными для проезда по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автомобильным дорогам общего пользования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waiaqqbh8axb0aklclun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2011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707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jlxh3-cvg9xs3gzik1q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3riesp9ioakh79zb54g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2014 года № 449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z1dhkymwykdpn0tyxnl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2017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lgpzxd2ry1nvcrod-op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2017 года № 525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ljdqrsecw_blfhmfxyg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cernmpxvtqoxjcdwtdun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2022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gwp3kel3z9lacco6sb0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января 2024 года № 11, </w:t>
        </w:r>
      </w:hyperlink>
      <w:hyperlink w:history="1" r:id="rIdr-h8am59mnnhtnu4dmg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июня 2025 года № 324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Термины и определения: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транспортное средство - устройство, предназначенное для перевозки по автомобильным дорогам грузов или пассажиров, или оборудования, установленного на нем;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весогабаритный контроль транспортных средств -</w:t>
      </w:r>
      <w:r>
        <w:rPr>
          <w:rFonts w:ascii="Arial" w:cs="Arial" w:eastAsia="Arial" w:hAnsi="Arial"/>
          <w:sz w:val="24"/>
          <w:szCs w:val="24"/>
        </w:rPr>
        <w:t xml:space="preserve"> один из видов транспортного контроля, осуществляемый в стационарных пунктах транспортного контроля или мобильными группами транспортного контроля, проводимый путем взвешивания и измерения параметров транспортного средства для определения его максимальных весогабаритных параметров и принятия соответствующих процессуальных решений для пропуска и проезда транспортного средства по автомобильным дорогам общего 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ведущая ось -</w:t>
      </w:r>
      <w:r>
        <w:rPr>
          <w:rFonts w:ascii="Arial" w:cs="Arial" w:eastAsia="Arial" w:hAnsi="Arial"/>
          <w:sz w:val="24"/>
          <w:szCs w:val="24"/>
        </w:rPr>
        <w:t xml:space="preserve"> ось, передающая крутящий момент и воспринимающая все виды усилий, действующих между колесами и подвеской;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выдвижная ось (лентяйка) -</w:t>
      </w:r>
      <w:r>
        <w:rPr>
          <w:rFonts w:ascii="Arial" w:cs="Arial" w:eastAsia="Arial" w:hAnsi="Arial"/>
          <w:sz w:val="24"/>
          <w:szCs w:val="24"/>
        </w:rPr>
        <w:t xml:space="preserve"> ось, которая может быть с помощью устройства разгрузки оси поднята над опорной поверхностью во время обычных условий эксплуатации транспортного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допустимая максимальная общая масса транспортного средства -</w:t>
      </w:r>
      <w:r>
        <w:rPr>
          <w:rFonts w:ascii="Arial" w:cs="Arial" w:eastAsia="Arial" w:hAnsi="Arial"/>
          <w:sz w:val="24"/>
          <w:szCs w:val="24"/>
        </w:rPr>
        <w:t xml:space="preserve"> масса транспортного средства со снаряжением, пассажирами и грузом или без груза, установленная для проезда по автомобильным дорогам;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допустимая максимальная масса, приходящаяся на ось </w:t>
      </w:r>
      <w:r>
        <w:rPr>
          <w:rFonts w:ascii="Arial" w:cs="Arial" w:eastAsia="Arial" w:hAnsi="Arial"/>
          <w:sz w:val="24"/>
          <w:szCs w:val="24"/>
        </w:rPr>
        <w:t xml:space="preserve">(группу осей), - масса, передающаяся через ось (группу осей) на поверхность автомобильной дороги, установленная для проезда по автомобильным дорогам;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ось -</w:t>
      </w:r>
      <w:r>
        <w:rPr>
          <w:rFonts w:ascii="Arial" w:cs="Arial" w:eastAsia="Arial" w:hAnsi="Arial"/>
          <w:sz w:val="24"/>
          <w:szCs w:val="24"/>
        </w:rPr>
        <w:t xml:space="preserve"> агрегат колесной машины, не передающий крутящего момента, на котором держатся вращающиеся детали;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ось односкатная -</w:t>
      </w:r>
      <w:r>
        <w:rPr>
          <w:rFonts w:ascii="Arial" w:cs="Arial" w:eastAsia="Arial" w:hAnsi="Arial"/>
          <w:sz w:val="24"/>
          <w:szCs w:val="24"/>
        </w:rPr>
        <w:t xml:space="preserve"> агрегат с двумя колесами, по одной с каждой стороны;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ось двускатная -</w:t>
      </w:r>
      <w:r>
        <w:rPr>
          <w:rFonts w:ascii="Arial" w:cs="Arial" w:eastAsia="Arial" w:hAnsi="Arial"/>
          <w:sz w:val="24"/>
          <w:szCs w:val="24"/>
        </w:rPr>
        <w:t xml:space="preserve"> агрегат с четырьмя колесами, по два с каждой стороны;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комбинированное транспортное средство -</w:t>
      </w:r>
      <w:r>
        <w:rPr>
          <w:rFonts w:ascii="Arial" w:cs="Arial" w:eastAsia="Arial" w:hAnsi="Arial"/>
          <w:sz w:val="24"/>
          <w:szCs w:val="24"/>
        </w:rPr>
        <w:t xml:space="preserve"> комбинация транспортных средств, состоящая из автомобиля, соединенного с прицепом или полуприцепом;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полуприцеп с низкой платформой (трал) -</w:t>
      </w:r>
      <w:r>
        <w:rPr>
          <w:rFonts w:ascii="Arial" w:cs="Arial" w:eastAsia="Arial" w:hAnsi="Arial"/>
          <w:sz w:val="24"/>
          <w:szCs w:val="24"/>
        </w:rPr>
        <w:t xml:space="preserve"> транспортное средство, предназначенное для перевозки негабаритных грузов (строительной спецтехники, фрагментов сооружений, металлических конструкций и других видов нестандартных и тяжеловесных грузов);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полуприцеп-цистерна -</w:t>
      </w:r>
      <w:r>
        <w:rPr>
          <w:rFonts w:ascii="Arial" w:cs="Arial" w:eastAsia="Arial" w:hAnsi="Arial"/>
          <w:sz w:val="24"/>
          <w:szCs w:val="24"/>
        </w:rPr>
        <w:t xml:space="preserve"> это несамоходное специализированное транспортное средство, буксировка которого осуществляется при помощи грузового автомобиля с опорно-сцепным устройством для перевозки различных жидкостей;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крупногабаритное транспортное средство - транспортное средство, размеры которого с грузом или без груза по высоте, ширине и длине превышают допустимые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тяжеловесное транспортное средство - транспортное средство, у которого полная масса или осевая нагрузка с грузом или без груза превышают допустимые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грузовой автомобиль - транспортное средство с механическим приводом, предназначенное для перевозки грузов по автомобильным дорогам;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прицеп - транспортное средство, предназначенное для перевозки грузов путем буксировки тягачом или грузовым автомобилем;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полуприцеп - специально оборудованное для перевозки грузов транспортное средство, предназначенное для соединения с тягачом таким образом, чтобы часть этого транспортного средства располагалась непосредственно на тягаче и передавала ему значительную долю своего веса;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автопоезд - комбинированное транспортное средство, состоящее из грузового автомобиля и прицепа (прицепной автопоезд), тягача и полуприцепа (седельный автопоезд);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автобус - транспортное средство, предназначенное для перевозки пассажиров и багажа, имеющее более 8 мест для сидения, не считая места водителя;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сочлененный автобус - автобус, состоящий из двух или более жестких секций, шарнирно соединенных друг с другом и имеющих пассажирский салон в каждой секции, позволяющих пассажирам свободно перемещаться из одного салона в другой;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воздушная подвеска - система подвески, в которой амортизирующим элементом является воздух, обеспечивающий не менее 75% амортизирующего эффекта.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пункт весогабаритного контроля</w:t>
      </w:r>
      <w:r>
        <w:rPr>
          <w:rFonts w:ascii="Arial" w:cs="Arial" w:eastAsia="Arial" w:hAnsi="Arial"/>
          <w:sz w:val="24"/>
          <w:szCs w:val="24"/>
        </w:rPr>
        <w:t xml:space="preserve"> - место проведения работниками уполномоченного государственного органа в сфере регулирования и контроля деятельности на автомобильном транспорте контроля за соблюдением грузоперевозчиками весогабаритных параметров по автомобильным дорогам общего пользования, оснащенное необходимыми техническими средствами и сооружениями, а также закрепленная за ним зона ответственности;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мобильная группа транспортного контроля</w:t>
      </w:r>
      <w:r>
        <w:rPr>
          <w:rFonts w:ascii="Arial" w:cs="Arial" w:eastAsia="Arial" w:hAnsi="Arial"/>
          <w:sz w:val="24"/>
          <w:szCs w:val="24"/>
        </w:rPr>
        <w:t xml:space="preserve"> - специальное транспортное средство, оснащенное необходимым оборудованием (портативными автомобильными весами) для измерения весовых параметров автотранспортных средств и предназначенное для проведения контроля за соблюдением грузоперевозчиками требований нормативных правовых актов и международных договоров, вступивших в силу в установленном законом порядке, участницей которых является Кыргызская Республика, в области перевозок тяжеловесных грузов транспортными средствами по автомобильным дорогам общего 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зона ответственности пункта весогабаритного контроля</w:t>
      </w:r>
      <w:r>
        <w:rPr>
          <w:rFonts w:ascii="Arial" w:cs="Arial" w:eastAsia="Arial" w:hAnsi="Arial"/>
          <w:sz w:val="24"/>
          <w:szCs w:val="24"/>
        </w:rPr>
        <w:t xml:space="preserve"> - территория стационарного пункт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транспортного контроля с прилегающим к ней участком дороги (местности), в пределах которой работниками дорожных организаций проводится контроль за проездом транспортных средств, осуществляющих перевозки грузов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максимальные весогабаритные параметры транспортных средств - параметры автотранспортных средств, включающие максимальную общую массу, осевую нагрузку, размеры и иные линейные параметры;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линейные параметры транспортных средств - максимальная длина, максимальная ширина, максимальная высота и максимальное расстояние между осью или осями автотранспортных средств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ezuzbcrnsqklvhtzjwpm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2014 года № 449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jm2_sdvflju13u14m6k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2017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gyxo6ttqkly_u7kzx9v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lxwyn-tpvtf1bcga37xd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2022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Порядок распространяется на всех пользователей автомобильных дорог и дорожных сооружений, предусматривает взимание сборов за взвешивание и измерение максимальных размеров и других линейных параметров транспортных средств, превышающих установленные нормы для проезда по автомобильным дорогам общего пользования Кыргызской Республики, определяет назначение средств и порядок использования.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4nuci01aqrusd01snb3h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24 января 2020 года № 29)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целях обеспечения безопасности дорожного движения, сохранности автомобильных дорог и дорожных сооружений, предотвращения их дальнейшего разрушения не допускается по ним движение тяжеловесных и крупногабаритных транспортных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Вступившие в установленном законом порядке в силу международные договоры, участницей которых является Кыргызская Республика, а также общепризнанные принципы и нормы международного права являются составной частью правовой системы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zjxdv0j5apv3i1mmn7k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января 2020 года № 29)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пропуска транспортных средств по автомобильным дорогам общего пользования предусматривает: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общей массы, осевой нагрузки, измерение размеров и других линейных параметров транспортных средств (весогабаритный контроль);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необходимого решения о дальнейшем движении транспортного средства в случае превышения его весогабаритных параметров установленных допустимых значений.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января 2022 года № 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didzpxybzuf5e6mctj2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июня 2025 года № 324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 автомобильным дорогам общего пользования не допускается движение транспортного средства с грузом или без груза, общая масса, осевая нагрузка, размеры и другие линейные параметры которого превышают их допустимые значения. Такое транспортное средство подлежит разгрузке, при этом затраты на погрузку, разгрузку и транспортные расходы несет перевозчик или владелец груза. В случае превышения весогабаритных параметров транспортного средства над допустимыми нормами до 2 тонн по общей массе или осевым нагрузкам, и отсутствия возможности разгрузки лишнего груза (отсутствия места разгрузки и т.п.) допускается проезд без разгрузки груза с уплатой установленного сбора за возмещение вреда и ущерба, в двойном размере.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Дорожные органы уполномоченного государственного органа в сфере транспорта и дорог по согласованию с уполномоченным государственным органом в сфере обеспечения безопасности дорожного движения вводят временное ограничение или прекращение движения с указанием срока его действия в светлое время суток летнего периода, с целью обеспечения сохранности автомобильных дорог государственного значения, а также увеличения сроков их эксплуатации. Грузовладелец или автоперевозчик в обязательном порядке осуществляют такую перевозку с обеспечением сопровождения автомобилем прикрытия, оборудованным сигнальными световыми маячками.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kgzwcijoznbbo5-dudbg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2017 года № 525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syz-tfzif7jhmt71qsf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76vc3lkp9zixslnev7yw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июня 2025 года № 324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взвешивание и измерение максимальных размеров и других линейных параметров транспортных средств, превышающих нормы для проезда по дорогам общего пользования Кыргызской Республики, взимаются сборы.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сборов за взвешивание и измерение максимальных размеров и других линейных параметров транспортных средств определяются Кабинетом Министров Кыргызской Республики, и ежегодно по решению уполномоченного государственного органа в сфере транспорта и дорог подлежит корректировке на уровень фактической инфляции за предыдущий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поступающие от сборов за взвешивание и измерение максимальных размеров и других линейных параметров транспортных средств, направляются в республиканский бюджет.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измерения, используемые при взвешивании и измерении максимальных размеров и других линейных параметров транспортных средств, должны быть поверены в соответствии с Законом Кыргызской Республики "Об обеспечении единства измерений".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phygkcxopnjqnpnzixv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июня 2025 года № 324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Контроль пропуска транспортных средств по автомобильным дорогам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общего пользования и взимания сборов за взвешивание и измерение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максимальных размеров и других линейных параметров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транспортных средств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Наименование главы 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</w:t>
      </w:r>
      <w:hyperlink w:history="1" r:id="rIdr3jxg-eiupyve47cdix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января 2020 года № 29)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пропуска осуществляется с целью выявления несанкционированного проезда транспортных средств по автомобильным дорогам общего пользования и взимания сборов за взвешивание и измерение максимальных размеров и других линейных параметров с транспортных средств, превышающих нормы для проезда по дорогам общего пользования Кыргызской Республики, в пунктах контроля веса и габаритов транспортных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безопасности дорожного движения пункт</w:t>
      </w:r>
      <w:r>
        <w:rPr>
          <w:rFonts w:ascii="Arial" w:cs="Arial" w:eastAsia="Arial" w:hAnsi="Arial"/>
          <w:sz w:val="24"/>
          <w:szCs w:val="24"/>
        </w:rPr>
        <w:t xml:space="preserve">ы</w:t>
      </w:r>
      <w:r>
        <w:rPr>
          <w:rFonts w:ascii="Arial" w:cs="Arial" w:eastAsia="Arial" w:hAnsi="Arial"/>
          <w:sz w:val="24"/>
          <w:szCs w:val="24"/>
        </w:rPr>
        <w:t xml:space="preserve"> транспортного контроля располагаются за пределами проезжей части автомобильных дорог.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пропуска транспортных средств организовывается только в режиме с применением оборудования определения веса и габаритов транспортных средств на стационарных или передвижных постах.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u14kuhglwzczsc8dtc-1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2017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mp6orw41lknankz1tyv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Уполномоченным государственным органом в сфере таможенного дела осуществляется первичный документационный контроль, учет грузовых транспортных средств и весогабаритный контроль в пунктах пропуска на таможенной границе Евразийского экономического союза со странами, не входящими в Евразийский экономический союз..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весогабаритного контроля транспортного средства, проводимого уполномоченным государственным органом в сфере таможенного дела в пунктах пропуска на кыргызском участке таможенной границы Евразийского экономического союза, подлежат передаче уполномоченному государственному органу транспортного (автомобильного) контроля непосредственно или посредством информационной системы. Дальнейшее движение транспортных средств с крупногабаритным и/или тяжеловесным неделимым грузом допускается уполномоченным государственным органом в сфере таможенного дела при наличии у перевозчика специального разрешения на проезд транспортного средства, перевозящего неделимый груз.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Транспортные средства международной перевозки, прошедшие первичный весогабаритный контроль в пунктах пропуска на кыргызском участке таможенной границы Евразийского экономического союза и имеющие средства идентификации таможенного органа, а также акт весогабаритного контроля, выданного уполномоченным государственным органом в сфере таможенного дела, не подлежат повторному весогабаритному контролю в пунктах транспортного контроля на автомобильных дорогах общего пользования, расположенных внутри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cj9wr0-2juc7pyp_2aq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er8dptj1dvv6mzbrmxq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fffczmkdpelnxw92-o8x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2022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lubxnwgnr38mlq8wn_b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января 2024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Оборудование весогабаритного контроля устанавливается на пунктах транспортного контроля в соответствии с инструкцией по его эксплуатации.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технологическими операциями контроля пропуска транспортных средств на пунктах транспортного контроля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остановка транспортного средства, проверка и изучение проездных документов транспортного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решения о направлении транспортного средства на взвешивание общей массы и измерение осевых нагрузок, размеров и других линейных параметров, за исключением случаев, предусмотренных в абзаце третьем </w:t>
      </w:r>
      <w:r>
        <w:rPr>
          <w:rFonts w:ascii="Arial" w:cs="Arial" w:eastAsia="Arial" w:hAnsi="Arial"/>
          <w:sz w:val="24"/>
          <w:szCs w:val="24"/>
        </w:rPr>
        <w:t xml:space="preserve">пункта 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взвешивание и измерение общей массы, осевых нагрузок, размеров и других линейных параметров транспортного средства. В случае несоответствия весогабаритных параметров допустимым значениям, а также отсутствия грузосопроводительных документов транспортное средство направляется на место для временной парковки, за исключением случаев, предусмотренных в абзаце третьем </w:t>
      </w:r>
      <w:r>
        <w:rPr>
          <w:rFonts w:ascii="Arial" w:cs="Arial" w:eastAsia="Arial" w:hAnsi="Arial"/>
          <w:sz w:val="24"/>
          <w:szCs w:val="24"/>
        </w:rPr>
        <w:t xml:space="preserve">пункта 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водителю достоверной информации о результатах взвешивания и измерения транспортного средства в распечатанном виде (акт взвешивания и измерения);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взимание сборов за взвешивание и измерение весогабаритных параметров транспортных средств в случае превышения их допустимых норм для проезда по дорогам общего пользования Кыргызской Республики, составление протокола о нарушении в соответствии с </w:t>
      </w:r>
      <w:hyperlink w:history="1" r:id="rIdwsqu7he_im4_zegewbg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начисление суммы сбора за возмещение вреда и ущерба, причиняемого автомобильным дорогам транспортным средством, и выдача квитанции об оплате сборов;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соответствующих данных в журнале учета и контроля, ввод результатов весогабаритного контроля в информационную систему;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своевременного заезда и выезда транспортных средств в пунктах транспортного контроля в соответствии с установленной процедурой;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взвешивании транспортных средств с применением оборудования по определению веса транспортных средств допускается погрешность автовесов в пределах и согласно технической документации измерительного оборудования завода-изготовителя. Погрешность измерительного оборудования толкуется в пользу перевозчика;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по недопущению дальнейшего движения транспортного средства с превышающими весогабаритными параметрами в соответствии с Кодексом Кыргызской Республики о правонарушениях, с учетом случаев, предусмотренных в пункте 5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фиксировании специальными техническими средствами с функцией фото- и видеофиксации факта превышения установленных допустимых норм весогабаритных параметров транспортного средства для проезда по автомобильным дорогам начисление суммы сбора за возмещение вреда и ущерба, причиняемого автомобильным дорогам, производится информационной системой.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уполномоченного государственного органа в сфере транспорта и дорог на участках автомобильных дорог, где производятся реабилитация и ремонт, устанавливается особый порядок применения установленных допустимых норм весогабаритных параметров транспортных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l4ab5dmb5abg2rlzvz0u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2022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wmopiq7gr-p6aumsrnq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января 2024 года № 11, </w:t>
        </w:r>
      </w:hyperlink>
      <w:hyperlink w:history="1" r:id="rIdo11tnu03ecprylvv7zee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июня 2025 года № 324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пунктах транспортного контроля сборы за взвешивание и измерение максимальных размеров и других линейных параметров транспортных средств, превышающих нормы для проезда по дорогам общего пользования Кыргызской Республики, взимаются с владельцев грузов или с перевозчиков в национальной валюте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cs22m5wgi0hvzjrscadi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января 2020 года № 29)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Обеспечение сохранности денежных средств, их хранение и транспортировка осуществляются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Организация безопасности дорожного движения транспортных средств на пункт</w:t>
      </w:r>
      <w:r>
        <w:rPr>
          <w:rFonts w:ascii="Arial" w:cs="Arial" w:eastAsia="Arial" w:hAnsi="Arial"/>
          <w:sz w:val="24"/>
          <w:szCs w:val="24"/>
        </w:rPr>
        <w:t xml:space="preserve">ах</w:t>
      </w:r>
      <w:r>
        <w:rPr>
          <w:rFonts w:ascii="Arial" w:cs="Arial" w:eastAsia="Arial" w:hAnsi="Arial"/>
          <w:sz w:val="24"/>
          <w:szCs w:val="24"/>
        </w:rPr>
        <w:t xml:space="preserve"> транспортного контроля возлагается на уполномоченный государственный орган в сфере регулирования и контроля деятельности на автомобильном транспорте и уполномоченный государственный орган по безопасности дорожного движения.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неподчинения водителя транспортного средства на требование об остановке транспортного средства и дальнейшего продолжения движения транспортного средства, должностными лицами уполномоченного государственного органа в сфере обеспечения безопасности дорожного движения принимаются меры по принудительной остановке транспортного средства и другие меры привлечения к ответственности водителя в установленном законодательством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fch6b1gtvdo9ouytbhe7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2017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mfwqvg3gn4vrle4y7bh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cie_oexqewupeoqgaaw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2022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отсутствии или выходе из строя по техническим причинам контрольно-кассовых машин с фискальной памятью, либо условий для обеспечения непрерывности их работы взимание сборов осуществляется с использованием приходного кассового ордера.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Приходные кассовые ордера подлежат строгому учету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Обеспечение поступлений сборов возлагается на руководителя уполномоченного государственного органа в сфере регулирования и контроля деятельности на автомобильном транспорте..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leyi8fbmpm2fwqua-qp-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января 2020 года № 29)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Изменения внесенные </w:t>
      </w:r>
      <w:hyperlink w:history="1" r:id="rId_qso2xa0fxscjzn5-f35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января 2020 года № 29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пункт 13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знак препинания “.” дублируется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Владельцы транспортных средств или перевозчики несут ответственность в установленном законодательством порядке за невыполнение требований настоящего Порядка и несоблюдение (превышение) установленных допустимых весогабаритных параметров транспортных средств для проезда по автомобильным дорогам общего пользования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lhy1kfpmxgdshkcpf3la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14 января 2022 года № 12)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dhzpydmm9vthm5sroq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dalil.kg/document/230016369</w:t>
      </w:r>
    </w:hyperlink>
  </w:p>
  <w:p>
    <w:pPr>
      <w:spacing w:after="0" w:before="40"/>
      <w:jc w:val="center"/>
    </w:pPr>
    <w:hyperlink w:history="1" r:id="rIdtlqbsjfdtfnuvmjsue_9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iaqqbh8axb0aklcluna" Type="http://schemas.openxmlformats.org/officeDocument/2006/relationships/hyperlink" Target="https://dalil.kg/document/95449" TargetMode="External"/><Relationship Id="rId_jlxh3-cvg9xs3gzik1qd" Type="http://schemas.openxmlformats.org/officeDocument/2006/relationships/hyperlink" Target="https://dalil.kg/document/94643" TargetMode="External"/><Relationship Id="rIdu3riesp9ioakh79zb54gc" Type="http://schemas.openxmlformats.org/officeDocument/2006/relationships/hyperlink" Target="https://dalil.kg/document/96764" TargetMode="External"/><Relationship Id="rIdzz1dhkymwykdpn0tyxnlr" Type="http://schemas.openxmlformats.org/officeDocument/2006/relationships/hyperlink" Target="https://dalil.kg/document/99767" TargetMode="External"/><Relationship Id="rIdblgpzxd2ry1nvcrod-op7" Type="http://schemas.openxmlformats.org/officeDocument/2006/relationships/hyperlink" Target="https://dalil.kg/document/98929" TargetMode="External"/><Relationship Id="rIdbljdqrsecw_blfhmfxygz" Type="http://schemas.openxmlformats.org/officeDocument/2006/relationships/hyperlink" Target="https://dalil.kg/document/157968" TargetMode="External"/><Relationship Id="rIdcernmpxvtqoxjcdwtdunb" Type="http://schemas.openxmlformats.org/officeDocument/2006/relationships/hyperlink" Target="https://dalil.kg/document/158882" TargetMode="External"/><Relationship Id="rIdlgwp3kel3z9lacco6sb0d" Type="http://schemas.openxmlformats.org/officeDocument/2006/relationships/hyperlink" Target="https://dalil.kg/document/230011963" TargetMode="External"/><Relationship Id="rIdr-h8am59mnnhtnu4dmgec" Type="http://schemas.openxmlformats.org/officeDocument/2006/relationships/hyperlink" Target="https://dalil.kg/document/230028198" TargetMode="External"/><Relationship Id="rIdezuzbcrnsqklvhtzjwpmc" Type="http://schemas.openxmlformats.org/officeDocument/2006/relationships/hyperlink" Target="https://dalil.kg/document/96764" TargetMode="External"/><Relationship Id="rId3jm2_sdvflju13u14m6ki" Type="http://schemas.openxmlformats.org/officeDocument/2006/relationships/hyperlink" Target="https://dalil.kg/document/99767" TargetMode="External"/><Relationship Id="rIdzgyxo6ttqkly_u7kzx9vr" Type="http://schemas.openxmlformats.org/officeDocument/2006/relationships/hyperlink" Target="https://dalil.kg/document/157968" TargetMode="External"/><Relationship Id="rIdlxwyn-tpvtf1bcga37xdj" Type="http://schemas.openxmlformats.org/officeDocument/2006/relationships/hyperlink" Target="https://dalil.kg/document/158882" TargetMode="External"/><Relationship Id="rId4nuci01aqrusd01snb3ha" Type="http://schemas.openxmlformats.org/officeDocument/2006/relationships/hyperlink" Target="https://dalil.kg/document/157968" TargetMode="External"/><Relationship Id="rIdzjxdv0j5apv3i1mmn7kgy" Type="http://schemas.openxmlformats.org/officeDocument/2006/relationships/hyperlink" Target="https://dalil.kg/document/157968" TargetMode="External"/><Relationship Id="rId8didzpxybzuf5e6mctj25" Type="http://schemas.openxmlformats.org/officeDocument/2006/relationships/hyperlink" Target="https://dalil.kg/document/230028198" TargetMode="External"/><Relationship Id="rIdkgzwcijoznbbo5-dudbg0" Type="http://schemas.openxmlformats.org/officeDocument/2006/relationships/hyperlink" Target="https://dalil.kg/document/98929" TargetMode="External"/><Relationship Id="rIddsyz-tfzif7jhmt71qsf9" Type="http://schemas.openxmlformats.org/officeDocument/2006/relationships/hyperlink" Target="https://dalil.kg/document/157968" TargetMode="External"/><Relationship Id="rId76vc3lkp9zixslnev7ywl" Type="http://schemas.openxmlformats.org/officeDocument/2006/relationships/hyperlink" Target="https://dalil.kg/document/230028198" TargetMode="External"/><Relationship Id="rIdsphygkcxopnjqnpnzixv5" Type="http://schemas.openxmlformats.org/officeDocument/2006/relationships/hyperlink" Target="https://dalil.kg/document/230028198" TargetMode="External"/><Relationship Id="rIdr3jxg-eiupyve47cdixve" Type="http://schemas.openxmlformats.org/officeDocument/2006/relationships/hyperlink" Target="https://dalil.kg/document/157968" TargetMode="External"/><Relationship Id="rIdu14kuhglwzczsc8dtc-13" Type="http://schemas.openxmlformats.org/officeDocument/2006/relationships/hyperlink" Target="https://dalil.kg/document/99767" TargetMode="External"/><Relationship Id="rIdmmp6orw41lknankz1tyvj" Type="http://schemas.openxmlformats.org/officeDocument/2006/relationships/hyperlink" Target="https://dalil.kg/document/157968" TargetMode="External"/><Relationship Id="rIdcj9wr0-2juc7pyp_2aqfm" Type="http://schemas.openxmlformats.org/officeDocument/2006/relationships/hyperlink" Target="https://dalil.kg/document/94643" TargetMode="External"/><Relationship Id="rIdmer8dptj1dvv6mzbrmxqe" Type="http://schemas.openxmlformats.org/officeDocument/2006/relationships/hyperlink" Target="https://dalil.kg/document/157968" TargetMode="External"/><Relationship Id="rIdfffczmkdpelnxw92-o8xh" Type="http://schemas.openxmlformats.org/officeDocument/2006/relationships/hyperlink" Target="https://dalil.kg/document/158882" TargetMode="External"/><Relationship Id="rIdqlubxnwgnr38mlq8wn_bt" Type="http://schemas.openxmlformats.org/officeDocument/2006/relationships/hyperlink" Target="https://dalil.kg/document/230011963" TargetMode="External"/><Relationship Id="rIdwsqu7he_im4_zegewbg32" Type="http://schemas.openxmlformats.org/officeDocument/2006/relationships/hyperlink" Target="https://dalil.kg/document/112306" TargetMode="External"/><Relationship Id="rIdl4ab5dmb5abg2rlzvz0ug" Type="http://schemas.openxmlformats.org/officeDocument/2006/relationships/hyperlink" Target="https://dalil.kg/document/158882" TargetMode="External"/><Relationship Id="rIdbwmopiq7gr-p6aumsrnq3" Type="http://schemas.openxmlformats.org/officeDocument/2006/relationships/hyperlink" Target="https://dalil.kg/document/230011963" TargetMode="External"/><Relationship Id="rIdo11tnu03ecprylvv7zee8" Type="http://schemas.openxmlformats.org/officeDocument/2006/relationships/hyperlink" Target="https://dalil.kg/document/230028198" TargetMode="External"/><Relationship Id="rIdcs22m5wgi0hvzjrscadig" Type="http://schemas.openxmlformats.org/officeDocument/2006/relationships/hyperlink" Target="https://dalil.kg/document/157968" TargetMode="External"/><Relationship Id="rIdfch6b1gtvdo9ouytbhe7k" Type="http://schemas.openxmlformats.org/officeDocument/2006/relationships/hyperlink" Target="https://dalil.kg/document/99767" TargetMode="External"/><Relationship Id="rIdrmfwqvg3gn4vrle4y7bh-" Type="http://schemas.openxmlformats.org/officeDocument/2006/relationships/hyperlink" Target="https://dalil.kg/document/157968" TargetMode="External"/><Relationship Id="rIdcie_oexqewupeoqgaawwf" Type="http://schemas.openxmlformats.org/officeDocument/2006/relationships/hyperlink" Target="https://dalil.kg/document/158882" TargetMode="External"/><Relationship Id="rIdleyi8fbmpm2fwqua-qp-s" Type="http://schemas.openxmlformats.org/officeDocument/2006/relationships/hyperlink" Target="https://dalil.kg/document/157968" TargetMode="External"/><Relationship Id="rId_qso2xa0fxscjzn5-f35c" Type="http://schemas.openxmlformats.org/officeDocument/2006/relationships/hyperlink" Target="https://dalil.kg/document/157968" TargetMode="External"/><Relationship Id="rIdlhy1kfpmxgdshkcpf3la7" Type="http://schemas.openxmlformats.org/officeDocument/2006/relationships/hyperlink" Target="https://dalil.kg/document/158882" TargetMode="External"/><Relationship Id="rId8" Type="http://schemas.openxmlformats.org/officeDocument/2006/relationships/image" Target="media/8de64316e95979c063c17bcd5380dc052a2594e9.png"/><Relationship Id="rId4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dhzpydmm9vthm5sroqw6" Type="http://schemas.openxmlformats.org/officeDocument/2006/relationships/hyperlink" Target="https://dalil.kg/document/230016369" TargetMode="External"/><Relationship Id="rIdtlqbsjfdtfnuvmjsue_9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2026-09-24T05:55:16.311Z</dcterms:created>
  <dcterms:modified xsi:type="dcterms:W3CDTF">2026-09-24T05:55:16.311Z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