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Порядка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 и Порядка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Республики» от 8 августа 2011 года № 454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благоприятных условий участникам внешнеэкономической деятельности при осуществлении международных грузовых автомобильных перевозок и обеспечения сохранности автомобильных дорог общего пользования, в соответствии со </w:t>
      </w:r>
      <w:hyperlink w:history="1" r:id="rIdpkt2shvs4cgvt_rjakv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автомобильных дорогах», статьями </w:t>
      </w:r>
      <w:hyperlink w:history="1" r:id="rIdhumcevod6srqj5hxw3s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oyjonmorysuet4cgrv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tfsgdi7rn2uetpjouo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-rv6gsrecl5puz2gxc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транспортных средств по автомобильным дорогам общего пользования Кыргызской Республики и взимания сборов за взвешивание и измерение максимальных размеров и других линейных параметров транспортных средств с превышающими нормами, установленными для проезда по автомобильным дорогам общего пользования Кыргызской Республики и </w:t>
      </w:r>
      <w:hyperlink w:history="1" r:id="rId__zv5k9unln4okpr5qb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проезд транспортных средств со специальным и неделимым грузом по автомобильным дорогам общего пользования Кыргызской Республики» от 8 августа 2011 года № 454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ptnunp7giityc5f-bd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Максимальных допустимых весогабаритных параметрах</w:t>
        </w:r>
      </w:hyperlink>
      <w:r>
        <w:rPr>
          <w:rFonts w:ascii="Arial" w:cs="Arial" w:eastAsia="Arial" w:hAnsi="Arial"/>
          <w:sz w:val="24"/>
          <w:szCs w:val="24"/>
        </w:rPr>
        <w:t xml:space="preserve"> транспортных средств, установленных для передвижения по автомобильным дорогам общего пользования Кыргызской Республики, утвержденных вышеуказанным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примечания пункта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«Для автотранспортных средств допускается превышение нагрузки на 1 тонну в случае когда ведущие или ведомые оси оснащены двускатными колесами. Группы сближенных осей, имеющие в своем составе оси с односкатными и двускатными колесами, следует рассматривать как группы сближенных осей, имеющие в своем составе оси с односкатными колесами.»;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0uksvmji13igwmmbjdp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пропуска и взимания сборов за пропуск транспортных средств с неделимым грузом, специальных транспортных средств по автомобильным дорогам общего пользования Кыргызской Республики, утвержденном вышеуказанным </w:t>
      </w:r>
      <w:hyperlink w:history="1" r:id="rId7frlddv4lsv7p7qxl0l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на официальном языке слова «сборов за пропуск» заменить словами «сборов за проезд»;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«5. Пропуск по автомобильным дорогам общего пользования транспортных средств с неделимым грузом и специальных транспортных средств, весовые параметры которых превышают установленные допустимые их значения, допускаются только при наличии специального и (или) многоразового специального разрешения»;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«Крупногабаритные (негабаритные) и тяжеловесные транспортные средства, предназначенные для перевозки автомобилей, пропускаются по автомобильным дорогам общего пользования при наличии специального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специального разрешения и многоразового специального разрешения, особенности применения многоразового специального разрешения в зависимости от вида специальных транспортных средств утверждаются уполномоченным государственным органом в сфере транспорта и дорог.»;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1zas-i8p58dvk3hkvp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установления и возмещения размера вреда и ущерба, причиняемого автомобильным дорогам транспортными средствами, осуществляющими перевозки тяжеловесных и крупногабаритных грузов, специальными транспортными средствами, утвержденном вышеуказанным </w:t>
      </w:r>
      <w:hyperlink w:history="1" r:id="rIdkc3e_n3jalrmd73hubd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Размер вреда и ущерба, причиняемых автомобильным дорогам общего пользования специальным транспортным средством, рассчитывается по следующей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S = C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М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N,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S - размер вреда и ущерба,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размер ставки перегруза за 1 тонну, определяется по формуле: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B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Ko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Р,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BN - размер базового сбора за проезд по автомобильным дорогам, в зависимости от категории транспортных средств равные: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грузового транспорта категории N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: B</w:t>
      </w:r>
      <w:r>
        <w:rPr>
          <w:rFonts w:ascii="Arial" w:cs="Arial" w:eastAsia="Arial" w:hAnsi="Arial"/>
          <w:sz w:val="24"/>
          <w:szCs w:val="24"/>
        </w:rPr>
        <w:t xml:space="preserve">N1</w:t>
      </w:r>
      <w:r>
        <w:rPr>
          <w:rFonts w:ascii="Arial" w:cs="Arial" w:eastAsia="Arial" w:hAnsi="Arial"/>
          <w:sz w:val="24"/>
          <w:szCs w:val="24"/>
        </w:rPr>
        <w:t xml:space="preserve"> = 1,0 сом;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грузового транспорта категории N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: В</w:t>
      </w:r>
      <w:r>
        <w:rPr>
          <w:rFonts w:ascii="Arial" w:cs="Arial" w:eastAsia="Arial" w:hAnsi="Arial"/>
          <w:sz w:val="24"/>
          <w:szCs w:val="24"/>
        </w:rPr>
        <w:t xml:space="preserve">N2</w:t>
      </w:r>
      <w:r>
        <w:rPr>
          <w:rFonts w:ascii="Arial" w:cs="Arial" w:eastAsia="Arial" w:hAnsi="Arial"/>
          <w:sz w:val="24"/>
          <w:szCs w:val="24"/>
        </w:rPr>
        <w:t xml:space="preserve"> = 2,0 сома;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грузового транспорта категории N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: В</w:t>
      </w:r>
      <w:r>
        <w:rPr>
          <w:rFonts w:ascii="Arial" w:cs="Arial" w:eastAsia="Arial" w:hAnsi="Arial"/>
          <w:sz w:val="24"/>
          <w:szCs w:val="24"/>
        </w:rPr>
        <w:t xml:space="preserve">N3</w:t>
      </w:r>
      <w:r>
        <w:rPr>
          <w:rFonts w:ascii="Arial" w:cs="Arial" w:eastAsia="Arial" w:hAnsi="Arial"/>
          <w:sz w:val="24"/>
          <w:szCs w:val="24"/>
        </w:rPr>
        <w:t xml:space="preserve"> = 2,0 сома;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Ko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коэффициент приведения осевых нагрузок, в зависимости от категории транспортных средств равные: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Ko</w:t>
      </w:r>
      <w:r>
        <w:rPr>
          <w:rFonts w:ascii="Arial" w:cs="Arial" w:eastAsia="Arial" w:hAnsi="Arial"/>
          <w:sz w:val="24"/>
          <w:szCs w:val="24"/>
        </w:rPr>
        <w:t xml:space="preserve">N1</w:t>
      </w:r>
      <w:r>
        <w:rPr>
          <w:rFonts w:ascii="Arial" w:cs="Arial" w:eastAsia="Arial" w:hAnsi="Arial"/>
          <w:sz w:val="24"/>
          <w:szCs w:val="24"/>
        </w:rPr>
        <w:t xml:space="preserve"> = 0,5;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Ko</w:t>
      </w:r>
      <w:r>
        <w:rPr>
          <w:rFonts w:ascii="Arial" w:cs="Arial" w:eastAsia="Arial" w:hAnsi="Arial"/>
          <w:sz w:val="24"/>
          <w:szCs w:val="24"/>
        </w:rPr>
        <w:t xml:space="preserve">N2</w:t>
      </w:r>
      <w:r>
        <w:rPr>
          <w:rFonts w:ascii="Arial" w:cs="Arial" w:eastAsia="Arial" w:hAnsi="Arial"/>
          <w:sz w:val="24"/>
          <w:szCs w:val="24"/>
        </w:rPr>
        <w:t xml:space="preserve"> = 3,0;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Ko</w:t>
      </w:r>
      <w:r>
        <w:rPr>
          <w:rFonts w:ascii="Arial" w:cs="Arial" w:eastAsia="Arial" w:hAnsi="Arial"/>
          <w:sz w:val="24"/>
          <w:szCs w:val="24"/>
        </w:rPr>
        <w:t xml:space="preserve">N3</w:t>
      </w:r>
      <w:r>
        <w:rPr>
          <w:rFonts w:ascii="Arial" w:cs="Arial" w:eastAsia="Arial" w:hAnsi="Arial"/>
          <w:sz w:val="24"/>
          <w:szCs w:val="24"/>
        </w:rPr>
        <w:t xml:space="preserve"> = 7,56;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коэффициент, учитывающий размер вреда автомобильной дороге при превышении допустимой массы транспортного средства, равный 6,9;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 - величина превышения фактической общей массы транспортного средства над установленной допустимой нормой общей массы для проезда по автомобильным дорогам общего пользования в зависимости от количества осей, тонн;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N - количество дней, приравненных сроку действия многоразового разрешения (срок действия устанавливается по количеству дней, указанных в заявлении заявителя).»;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пункт 6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«6. Ставка перегруза на 1 км проезда установлена в размере 70 сомов за 1 тонну, в том числе применяется также для транспортных средств международных автомобильных перевозок при получении специального разрешения.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получении специального разрешения на перевозку по республике неделимых грузов грузовыми автомобилями, автопоездами, а также седельными тягачами, имеющими три и более осей и низкорамный полуприцеп (трал), имеющий четыре и более осей и на каждой оси по четыре и более колес, ставка перегруза устанавливается 50 сомов за 1 тонну на 1 км проезда.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перегруза подлежит ежегодной корректировке на уровень фактической инфляции за предыдущий год.».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25 октября 2024 года № 83 (3637)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-psvnmr8ghbxm9rilp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dalil.kg/document/230016971</w:t>
      </w:r>
    </w:hyperlink>
  </w:p>
  <w:p>
    <w:pPr>
      <w:spacing w:after="0" w:before="40"/>
      <w:jc w:val="center"/>
    </w:pPr>
    <w:hyperlink w:history="1" r:id="rId0dqyanwfbc6qbgburqx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t2shvs4cgvt_rjakvnl" Type="http://schemas.openxmlformats.org/officeDocument/2006/relationships/hyperlink" Target="https://dalil.kg/document/112594#st_29" TargetMode="External"/><Relationship Id="rIdhumcevod6srqj5hxw3skd" Type="http://schemas.openxmlformats.org/officeDocument/2006/relationships/hyperlink" Target="https://dalil.kg/document/112301#st_13" TargetMode="External"/><Relationship Id="rId0oyjonmorysuet4cgrvhf" Type="http://schemas.openxmlformats.org/officeDocument/2006/relationships/hyperlink" Target="https://dalil.kg/document/112301#st_17" TargetMode="External"/><Relationship Id="rIdntfsgdi7rn2uetpjouodu" Type="http://schemas.openxmlformats.org/officeDocument/2006/relationships/hyperlink" Target="https://dalil.kg/document/92756" TargetMode="External"/><Relationship Id="rIde-rv6gsrecl5puz2gxc6s" Type="http://schemas.openxmlformats.org/officeDocument/2006/relationships/hyperlink" Target="https://dalil.kg/document/230016369" TargetMode="External"/><Relationship Id="rId__zv5k9unln4okpr5qb5r" Type="http://schemas.openxmlformats.org/officeDocument/2006/relationships/hyperlink" Target="https://dalil.kg/document/230016732" TargetMode="External"/><Relationship Id="rIdaptnunp7giityc5f-bddx" Type="http://schemas.openxmlformats.org/officeDocument/2006/relationships/hyperlink" Target="https://dalil.kg/document/92756#pr1" TargetMode="External"/><Relationship Id="rId0uksvmji13igwmmbjdp7g" Type="http://schemas.openxmlformats.org/officeDocument/2006/relationships/hyperlink" Target="https://dalil.kg/document/230016732" TargetMode="External"/><Relationship Id="rId7frlddv4lsv7p7qxl0lfd" Type="http://schemas.openxmlformats.org/officeDocument/2006/relationships/hyperlink" Target="https://dalil.kg/document/92756" TargetMode="External"/><Relationship Id="rIdf1zas-i8p58dvk3hkvpbt" Type="http://schemas.openxmlformats.org/officeDocument/2006/relationships/hyperlink" Target="https://dalil.kg/document/230016454" TargetMode="External"/><Relationship Id="rIdkc3e_n3jalrmd73hubdxn" Type="http://schemas.openxmlformats.org/officeDocument/2006/relationships/hyperlink" Target="https://dalil.kg/document/9275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-psvnmr8ghbxm9rilpaa" Type="http://schemas.openxmlformats.org/officeDocument/2006/relationships/hyperlink" Target="https://dalil.kg/document/230016971" TargetMode="External"/><Relationship Id="rId0dqyanwfbc6qbgburqx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2026-09-23T18:11:35.483Z</dcterms:created>
  <dcterms:modified xsi:type="dcterms:W3CDTF">2026-09-23T18:11:35.483Z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