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14 ноября 2024 года УП № 323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Указ Президента Кыргызской Республики "Об утверждении государственной жилищной программы Кыргызской Республики "Менин үйүм" от 17 июля 2024 года № 191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предоставления гражданам Кыргызской Республики возможности приобретения жилья на льготных условиях,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71</w:t>
      </w:r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kjs9zsw-fg1qagl4bl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</w:t>
      </w:r>
      <w:hyperlink w:history="1" r:id="rIdjk7cgmk6cbeyu1bikth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государственной жилищной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"Менин үйүм " от 17 июля 2024 года № 191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fgepj9xhhzbickqy2g0n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отбора участников </w:t>
      </w:r>
      <w:hyperlink w:history="1" r:id="rIdscluay4i33vmvez5hat0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государственной жилищной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"Менин үйүм ", утвержденном вышеназванным </w:t>
      </w:r>
      <w:hyperlink w:history="1" r:id="rId7ehmhd8oznxfgwkpehy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подпункта 9 пункта 4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в рамках механизма жилищного финансирования долевого строительства жилья, в том числе в рамках продукта "Накопительная ипотека", применяется один критерий - отсутствие у участника, супруга (супруги) участника и несовершеннолетних детей участника жилья и каких-либо гражданско-правовых сделок, связанных с переходом права собственности на жилье на всей территории Кыргызской Республики, за последние 3 (три) года до даты подачи заявления на участие в Программе.";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13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банки-партнеры рассматривают электронные списки участников Программы в автоматизированной информационной системе ГИК, принимают решение о выдаче ипотечного кредита либо отказе в выдаче ипотечного кредита после анализа платежеспособности участника, за исключением продукта "Накопительная ипотека";";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r>
        <w:rPr>
          <w:rFonts w:ascii="Arial" w:cs="Arial" w:eastAsia="Arial" w:hAnsi="Arial"/>
          <w:sz w:val="24"/>
          <w:szCs w:val="24"/>
        </w:rPr>
        <w:t xml:space="preserve">главе 6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1,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4"/>
        <w:gridCol w:w="2088"/>
        <w:gridCol w:w="7797"/>
      </w:tblGrid>
      <w:tr>
        <w:tc>
          <w:tcPr>
            <w:tcW w:type="dxa" w:w="2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Участник Программы (целевая группа)</w:t>
            </w:r>
          </w:p>
        </w:tc>
        <w:tc>
          <w:tcPr>
            <w:tcW w:type="dxa" w:w="77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Граждане, соответствующие критериям отбора по направлениям жилищного финансирования: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"Социальная ипотека";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"Льготная ипотека";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"Доступная ипотека".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продукта "Накопительная ипотека" - критериям отбора по механизму долевого строительства жилья</w:t>
            </w:r>
          </w:p>
        </w:tc>
      </w:tr>
      <w:tr>
        <w:tc>
          <w:tcPr>
            <w:tcW w:type="dxa" w:w="2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Целевое направление ипотечного кредита</w:t>
            </w:r>
          </w:p>
        </w:tc>
        <w:tc>
          <w:tcPr>
            <w:tcW w:type="dxa" w:w="7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жилья, строительство жилья (индивидуальный жилой дом) с использованием механизма поэтапного финансирования, при наличии земельного участка.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 предоставляется на приобретение жилья в регионе осуществления трудовой деятельности, при этом: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для участников, осуществляющих трудовую деятельность в городе Бишкек, допускается предоставление кредита на приобретение жилья в регионах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для участников, осуществляющих трудовую деятельность в регионах республики, не допускается предоставление кредита на приобретение жилья в городе Бишкек.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продукта "Накопительная ипотека" - приобретение жилья с использованием механизма долевого строительства жилья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6-8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4"/>
        <w:gridCol w:w="2058"/>
        <w:gridCol w:w="7825"/>
      </w:tblGrid>
      <w:tr>
        <w:tc>
          <w:tcPr>
            <w:tcW w:type="dxa" w:w="2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ипотечного кредита</w:t>
            </w:r>
          </w:p>
        </w:tc>
        <w:tc>
          <w:tcPr>
            <w:tcW w:type="dxa" w:w="78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направлениям жилищного финансирования: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"Социальная ипотека" до 4000000 (четыре миллиона) сомов;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"Льготная ипотека" до 4000000 (четыре миллиона) сомов;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"Доступная ипотека" до 5000000 (пять миллионов) сомов.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продукта "Накопительная ипотека" - не более 20 (двадцать) % от стоимости приобретаемого жилья</w:t>
            </w:r>
          </w:p>
        </w:tc>
      </w:tr>
      <w:tr>
        <w:tc>
          <w:tcPr>
            <w:tcW w:type="dxa" w:w="2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ипотечного кредита</w:t>
            </w:r>
          </w:p>
        </w:tc>
        <w:tc>
          <w:tcPr>
            <w:tcW w:type="dxa" w:w="7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Максимальный срок не более 25 (двадцать пять) лет, в зависимости от источников финансирования;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рамках продукта "Накопительная ипотека" - до 5 (пять) лет</w:t>
            </w:r>
          </w:p>
        </w:tc>
      </w:tr>
      <w:tr>
        <w:tc>
          <w:tcPr>
            <w:tcW w:type="dxa" w:w="2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Критерии определения суммы ипотечного кредита</w:t>
            </w:r>
          </w:p>
        </w:tc>
        <w:tc>
          <w:tcPr>
            <w:tcW w:type="dxa" w:w="7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выдачи ипотечного кредита определяется на основании анализа платежеспособности согласно требованиям нормативных правовых актов Национального банка Кыргызской Республики и внутренних документов банка-партнера.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продукта "Накопительная ипотека" - без анализа платежеспособности при наличии у участника первоначального взноса на депозитном счете, открытом в банке-партнере ГИК, в размере не менее 30 (тридцать) % от стоимости жилья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15-17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1"/>
        <w:gridCol w:w="2104"/>
        <w:gridCol w:w="7813"/>
      </w:tblGrid>
      <w:tr>
        <w:tc>
          <w:tcPr>
            <w:tcW w:type="dxa" w:w="26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1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Первоначальный взнос (собственный вклад)</w:t>
            </w:r>
          </w:p>
        </w:tc>
        <w:tc>
          <w:tcPr>
            <w:tcW w:type="dxa" w:w="78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Минимальная сумма первоначального взноса по направлениям, в том числе по механизмам жилищного обеспечения по исламским принципам финансирования: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"Социальная ипотека" не менее 10 (десять) % от стоимости жилья;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"Льготная ипотека" не менее 20 (двадцать) % от стоимости жилья;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"Доступная ипотека" не менее 20 (двадцать) % от стоимости жилья.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отсутствии собственного вклада участника допускается предоставление дополнительного залога по усмотрению банка-партнера, а также применение финансовых инструментов гарантийных фондов.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продукта "Накопительная ипотека" - 30 (тридцать) % от стоимости жилья на депозитном счете участника открытом в банке-партнере ГИК сроком не менее 6 месяцев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Процентные ставки по ипотечному кредиту</w:t>
            </w:r>
          </w:p>
        </w:tc>
        <w:tc>
          <w:tcPr>
            <w:tcW w:type="dxa" w:w="7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Процентные ставки по ипотечным кредитам, а также годовая доходность по наценке по механизмам жилищного обеспечения по исламским принципам финансирования согласно направлениям: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"Социальная ипотека" 4 (четыре) % годовых;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"Льготная ипотека" 4 (четыре) % годовых;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"Доступная ипотека" 8 (восемь) % годовых.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продукта "Накопительная ипотека" - 10 (десять) % годовых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ипотечного кредита (залог)</w:t>
            </w:r>
          </w:p>
        </w:tc>
        <w:tc>
          <w:tcPr>
            <w:tcW w:type="dxa" w:w="7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обеспечения ипотечного кредита может применяться следующее: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приобретенное жилье;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земельный участок в период строительства индивидуального жилого дома;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индивидуальный жилой дом, построенный за счет ипотечного кредита;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имущественное право на строящееся жилое помещение на условиях договора долевого строительства в период строительства;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ипотечная гарантия.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Допускается замена предмета (залога) ипотечного кредита с условием увеличения площади жилья, без дополнительного финансирования со стороны ГИК.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продукта "Накопительная ипотека" - гарантия/поручительство ГИК в соответствии с заключенным соглашением о сотрудничестве и договором гарантии/поручительства между ГИК и банком-партнером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открытому акционерному обществу "Государственная Ипотечная Компания" заключить соглашение о сотрудничестве, договор поручительства с открытым акционерным обществом "Элдик Банк" и запустить продукт "Накопительная ипотека" для приобретения жилья гражданами на льготных условиях.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19 ноября 2024 года № 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 Н.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u0qdsd5xyujk2qrprqa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dalil.kg/document/230017412</w:t>
      </w:r>
    </w:hyperlink>
  </w:p>
  <w:p>
    <w:pPr>
      <w:spacing w:after="0" w:before="40"/>
      <w:jc w:val="center"/>
    </w:pPr>
    <w:hyperlink w:history="1" r:id="rIdzauepxswiehsvuqqphtj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kjs9zsw-fg1qagl4blyo" Type="http://schemas.openxmlformats.org/officeDocument/2006/relationships/hyperlink" Target="https://dalil.kg/document/230012114" TargetMode="External"/><Relationship Id="rIdjk7cgmk6cbeyu1bikthxi" Type="http://schemas.openxmlformats.org/officeDocument/2006/relationships/hyperlink" Target="https://dalil.kg/document/230012120" TargetMode="External"/><Relationship Id="rIdfgepj9xhhzbickqy2g0n8" Type="http://schemas.openxmlformats.org/officeDocument/2006/relationships/hyperlink" Target="https://dalil.kg/document/230012123" TargetMode="External"/><Relationship Id="rIdscluay4i33vmvez5hat08" Type="http://schemas.openxmlformats.org/officeDocument/2006/relationships/hyperlink" Target="https://dalil.kg/document/230012120" TargetMode="External"/><Relationship Id="rId7ehmhd8oznxfgwkpehyrg" Type="http://schemas.openxmlformats.org/officeDocument/2006/relationships/hyperlink" Target="https://dalil.kg/document/23001211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u0qdsd5xyujk2qrprqa2" Type="http://schemas.openxmlformats.org/officeDocument/2006/relationships/hyperlink" Target="https://dalil.kg/document/230017412" TargetMode="External"/><Relationship Id="rIdzauepxswiehsvuqqphtj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2026-09-26T00:12:21.019Z</dcterms:created>
  <dcterms:modified xsi:type="dcterms:W3CDTF">2026-09-26T00:12:21.019Z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