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мая 2024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и порядке приватизации муниципальной собственности и Программы приватизации объектов муниципальной собственности города Кара-Балта на 2024-2027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муниципальной собственностью города Кара-Балта путем осуществления комплекса мероприятий, направленных на реализацию процесса приватизации отдельных нерентабельных объектов муниципального имущества, в соответствии со </w:t>
      </w:r>
      <w:hyperlink w:history="1" r:id="rId-cvuagn7kgiaca-nqh0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 и </w:t>
      </w:r>
      <w:hyperlink w:history="1" r:id="rIdxlhb2xe7tgui4222fe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внеочередная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cmama5bszioax_0t-1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муниципальной собственности,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Программу приватизации объектов муниципальной собственности города Кара-Балта на 2024-2027 годы, согласно </w:t>
      </w:r>
      <w:hyperlink w:history="1" r:id="rIddxbrtya3ztqymwr9e_9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Чуй-Бишкекское управление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Джекшенова М.Р.-мэра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приватизации объектов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Кара-Балта на 2024 - 2027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ель и задачи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органов местного самоуправления города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области приватизации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2024 - 2027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направлением деятельности органов местного самоуправления города Кара-Балта является создание благоприятных условий для социально-экономического развития территории, направленного на увеличение доходов населения, улучшение состояния инфраструктурных объектов, развитие сферы жилищно-коммунального хозяйства, повышение качества образования и здравоохранения, усиление социальной поддержки населения, развитие культуры и искусства, физической культуры и спорта, улучшение состояния окружающей среды. При этом основным фактором выполнения возложенных на органы местного самоуправления города Кара-Балта задач является наличие достаточных финансовых ресурсов.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по значимости после налоговых поступлений источником пополнения доходной части местного бюджета города Кара-Балта являются неналоговые доходы, основную часть которых составляют средства, полученные от сдачи в аренду объектов муниципальной </w:t>
      </w:r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</w:t>
      </w:r>
      <w:r>
        <w:rPr>
          <w:rFonts w:ascii="Arial" w:cs="Arial" w:eastAsia="Arial" w:hAnsi="Arial"/>
          <w:sz w:val="24"/>
          <w:szCs w:val="24"/>
        </w:rPr>
        <w:t xml:space="preserve">основным направлением деятельности органов местного самоуправления города Кара-Балта в сфере управления объектами муниципальной собственности является повышение эффективности их использования путем </w:t>
      </w:r>
      <w:r>
        <w:rPr>
          <w:rFonts w:ascii="Arial" w:cs="Arial" w:eastAsia="Arial" w:hAnsi="Arial"/>
          <w:sz w:val="24"/>
          <w:szCs w:val="24"/>
        </w:rPr>
        <w:t xml:space="preserve">увеличения поступлений в доходную часть бюджета города Кара-Балта</w:t>
      </w:r>
      <w:r>
        <w:rPr>
          <w:rFonts w:ascii="Arial" w:cs="Arial" w:eastAsia="Arial" w:hAnsi="Arial"/>
          <w:sz w:val="24"/>
          <w:szCs w:val="24"/>
        </w:rPr>
        <w:t xml:space="preserve"> и снижения расходов на содержание муниципального имущества, а также вовлечения муниципалитета в процесс использования имущества, принадлежащего местному сообществу города Кара-Балта, в качестве регулятора, осуществляющего операционный контроль, с предоставлением предпринимателям возможностей для ведения свободного, прозрачного и доходного бизнеса.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показывает анализ, на сегодняшний день наблюдается недостаточная эффективность деятельности органов местного самоуправления города Кара-Балта по управлению активами столицы.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ц</w:t>
      </w:r>
      <w:r>
        <w:rPr>
          <w:rFonts w:ascii="Arial" w:cs="Arial" w:eastAsia="Arial" w:hAnsi="Arial"/>
          <w:sz w:val="24"/>
          <w:szCs w:val="24"/>
        </w:rPr>
        <w:t xml:space="preserve">елью политики органов местного самоуправления города Кара-Балта в области приватизации на 2024 - 2027 годы является повышение эффективности управления муниципальной собственностью города Кара-Балта путем </w:t>
      </w:r>
      <w:r>
        <w:rPr>
          <w:rFonts w:ascii="Arial" w:cs="Arial" w:eastAsia="Arial" w:hAnsi="Arial"/>
          <w:sz w:val="24"/>
          <w:szCs w:val="24"/>
        </w:rPr>
        <w:t xml:space="preserve">осуществления комплекса мероприятий, направленных на </w:t>
      </w:r>
      <w:r>
        <w:rPr>
          <w:rFonts w:ascii="Arial" w:cs="Arial" w:eastAsia="Arial" w:hAnsi="Arial"/>
          <w:sz w:val="24"/>
          <w:szCs w:val="24"/>
        </w:rPr>
        <w:t xml:space="preserve">реализацию процесса приватизации отдельных нерентабельных объектов муниципального имущества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обозначенном периоде политика органов местного самоуправления города Кара-Балта в области приватизации муниципальной собственности направлена на решение следующих задач: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нормативно-правовой базы приватизации объектов муниципальной собственности;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практики приватизации объектов муниципальной собственности путем проведения торгов в электронном формате;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поступлений в бюджет города Кара-Балта неналоговых доходов от приватизации объектов муниципальной собственности;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расходов из бюджета города Кара-Балта на содержание нерентабельных объектов муниципальной собственности;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активизация деятельности органов местного самоуправления города Кара-Балта по созданию благоприятной инвестиционной среды в столице.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осуществления приватизации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 и проведения торгов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анализа финансово-экономического состояния объектов приватизации, с учетом их особенностей, а также перспектив дальнейшего развития территории города Кара-Балта приватизация объектов муниципальной собственности будет осуществляться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путем продажи на аукционе в электронном формате.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объекты муниципальной собственности дважды выставлялись на открытые торги в установленном порядке и не были проданы, приватизация таких объектов муниципальной собственности может быть произведена путем прямой продажи по решению местного кенеша.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сроков приватизации</w:t>
      </w:r>
      <w:r>
        <w:rPr>
          <w:rFonts w:ascii="Arial" w:cs="Arial" w:eastAsia="Arial" w:hAnsi="Arial"/>
          <w:sz w:val="24"/>
          <w:szCs w:val="24"/>
        </w:rPr>
        <w:t xml:space="preserve"> объектов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осуществляется уполномоченным органом по управлению и распоряжению муниципальным имуществом в порядке, установленном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стоимости объектов приватизации осуществляется путем проведения оценки в соответствии с 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оценочной деятельности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по управлению и распоряжению муниципальным имуществом привлекаются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 приватизации объектов муниципальной собственности путем продажи на аукционе в электронном формате применяется в порядке, установленном законодательством Кыргызской Республики (постановление Правительства Кыргызской Республики от 27 октября 2020 года № 519) и состоит из следующих этапов: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по управлению и распоряжению муниципальным имуществом заполняет форму и размещает заявку (с подписью руководителя уполномоченного органа) в электронном формате на электронной торговой площадке через «личный кабинет» с приложением: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стартовой цены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копий технического паспорта или иной технической документации на продаваемое муниципальное имущество (схема, план), заверенных печатью уполномоченного органа по управлению и распоряжению муниципальным имуществом;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договора о продаже муниципального имущества;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по управлению и распоряжению муниципальным имуществом не менее чем за 30 (тридцать) дней до даты проведения аукциона размещает на электронной торговой площадке через «личный кабинет» информационное сообщение, а также опубликовывает в средствах массовой информации и размещает на сайте исполнительных органов местного самоуправления города Кара-Балта сообщение о проведении аукциона.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в обязательном порядке должно содержать в себе следующие сведения: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продавца;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и функциональное назначение, площадь и параметры (характеристика), техническое состояние объекта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а также реквизиты счета, на который он должен быть перечислен;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информация (по усмотрению уполномоченного органа по управлению и распоряжению муниципальным имуществом).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управлению и распоряжению муниципальным имуществом по требованию лиц, изъявивших желание принять участие в торгах, обязан: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доступ к объекту продажи с целью осмотра его технического состояния;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для ознакомления правоустанавливающие документы и материалы фотосъемки;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торгам допускаются лица, прошедшие регистрацию на электронной торговой площадке до начала проведения торгов. Регистрация осуществляется: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с использованием электронной подписи или документа, удостоверяющего личность (ID-карты), с наличием электронного чипа (e-ID) или с подтверждением персонального идентификационного номера (ПИН-кода), высылаемого на регистрируемый номер телефона претендента;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с использованием электронной подписи. В случае отсутствия электронной подписи согласно применяемым формам идентификации для физических лиц, с приложением сканированных свидетельства о государственной регистрации/перерегистрации юридического лица и приказа о назначении руководителя или сканированной доверенности, оформленной в соответствии с законодательством в сфере гражданско-правовых отношений, на лицо, осуществляющее регистрацию по идентификационным данным физического лица;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процедура торгов в форме электронного аукциона проводится в день и время, указанные в информационном сообщении о проведении электронного аукциона.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 проведения электронного аукциона фиксируется в электронном журнале электронной торговой площадки;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торги в форме электронного аукциона проводятся на повышение стоимости продажи.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объекта продажи определяется в соответствии с положением, утвержденным представительным органом местного самоуправления города Кара-Балта.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шага аукциона составляет 20 процентов от стартовой цены лота.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аукциона осуществляется путем последовательного повышения участниками начальной цены продажи на величину согласно «шагу аукциона».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признается участник, предложивший наиболее высокую цену за объект продажи;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процедура электронного аукциона считается завершенной со времени формирования электронного протокола о результатах электронного аукциона, генерируемого системой по окончании аукциона автоматически;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торги признаются несостоявшимися в случаях: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отсутствия заявок/участников торгов (аукциона);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признания только одного претендента участником.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признании торгов несостоявшимися объект продажи снимается с торгов и выставляется вновь по истечении 30 (тридцати) календарных дней после даты признания аукциона несостоявшимся.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двукратного признания аукциона несостоявшимся по причине отсутствия заявок объект продажи снимается с торгов;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участник вправе не позднее дня окончания приема заявок отозвать заявку в «личном кабинете» электронной торговой площадки.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уведомление об отзыве заявки (вместе с заявкой) в течение 1 (одного) часа поступает в «личный кабинет» уполномоченного органа по управлению и распоряжению муниципальным имуществом, о чем претенденту направляется соответствующее уведомление;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участия в электронном аукционе участник должен внести гарантийный взнос в размере 100 процентов от объявленного стартового размера продажи на счет, указанный в информационном сообщении.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торги не состоялись, гарантийный взнос подлежит возврату. Гарантийный взнос возвращается также лицам, которые участвовали в торгах, но не выиграли их, и лицам, отозвавшим заявки не позднее дня окончания приема заявок. Гарантийный взнос возвращается всем участникам электронного аукциона, за исключением победителя, в течение 10 (десяти) банковских дней с момента подписания протокола об итогах электронного аукциона, а для лиц, отозвавших заявки, со дня поступления уведомления об отзыве заявки;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победителю электронного аукциона гарантийный взнос засчитывается в счет оплаты приобретаемого имущества. В случае отказа от подписания протокола об итогах электронных торгов или заключения договора продажи, гарантийный взнос победителю электронного аукциона не возвращается и направляется в местный бюджет;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уполномоченный орган по управлению и распоряжению муниципальным имуществом по итогам проведенного аукциона в течение 7 (семи) календарных дней с даты определения победителя электронного аукциона заключает с победителем договор купли-продажи.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аукциона приобретает муниципальное имущество с момента вступления в силу договора купли-продажи. Договор купли-продажи вступает в силу после государственной регистрации в территориальном подразделении уполномоченного государственного органа в сфере регистрации прав на недвижимое имущество в установленном законодательством Кыргызской Республики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Классификация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объектам муниципальной собственности, подлежащим приватизации в соответствии с настоящей Программой, относятся отдельные квартиры в количестве 38 (тридцать восемь) единицы недвижимого имущества, </w:t>
      </w:r>
      <w:r>
        <w:rPr>
          <w:rFonts w:ascii="Arial" w:cs="Arial" w:eastAsia="Arial" w:hAnsi="Arial"/>
          <w:sz w:val="24"/>
          <w:szCs w:val="24"/>
        </w:rPr>
        <w:t xml:space="preserve">расположенные по адресу: город Кара-Балта, согласно Перечню </w:t>
      </w:r>
      <w:r>
        <w:rPr>
          <w:rFonts w:ascii="Arial" w:cs="Arial" w:eastAsia="Arial" w:hAnsi="Arial"/>
          <w:sz w:val="24"/>
          <w:szCs w:val="24"/>
        </w:rPr>
        <w:t xml:space="preserve">объектов муниципальной собственности, подлежащих приватизации в 2024 – 2027 годах.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целесообразно разделить объекты</w:t>
      </w:r>
      <w:r>
        <w:rPr>
          <w:rFonts w:ascii="Arial" w:cs="Arial" w:eastAsia="Arial" w:hAnsi="Arial"/>
          <w:sz w:val="24"/>
          <w:szCs w:val="24"/>
        </w:rPr>
        <w:t xml:space="preserve"> приватизации на отдельные лоты, количество которых будет определено </w:t>
      </w:r>
      <w:r>
        <w:rPr>
          <w:rFonts w:ascii="Arial" w:cs="Arial" w:eastAsia="Arial" w:hAnsi="Arial"/>
          <w:sz w:val="24"/>
          <w:szCs w:val="24"/>
        </w:rPr>
        <w:t xml:space="preserve">уполномоченным органом по управлению и распоряжению муниципальным имуществом.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объектам муниципальной собственности, приватизация которых запрещена, относятся: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имущественные комплексы парков, скверов, кладбищ;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историко-культурного наследия;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инженерной и дорожной инфраструктуры;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специализированные предприятия, имущественные комплексы и оборудование, обеспечивающие эксплуатацию и обслуживание систем жизнеобеспечения территории города Кара-Балта;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муниципальное имущество, закрепленное за дошкольными, внешкольными и общеобразовательными организациями, организациями системы социальной защиты населения, организациями культуры и искусства, организациями физической культуры и спорта, за исключением неиспользуемого или используемого не по прямому назначению;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муниципальное имущество, предоставленное в безвозмездное пользование государственным органам Кыргызской Республики;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муниципальное имущество, предоставленное в безвозмездное пользование государственным организациям здравоохранения, за исключением неиспользуемого или используемого не по прямому назначению;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муниципальное имущество, предназначенное для выполнения задач органов местного самоуправления города Кара-Балта по решению вопросов местного значения, за исключением имущества, не используемого или используемого не по прямому назначению.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Прогноз поступления средств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приватизации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приблизительным подсчетам, в результате реализации настоящей Программы ожидается поступление в местный бюджет города Кара-Балта денежных средств в размере 21 (двадцати одного) миллиона сомов.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средства, вырученные от приватизации объектов муниципальной собственности согласно настоящей Программе</w:t>
      </w:r>
      <w:r>
        <w:rPr>
          <w:rFonts w:ascii="Arial" w:cs="Arial" w:eastAsia="Arial" w:hAnsi="Arial"/>
          <w:sz w:val="24"/>
          <w:szCs w:val="24"/>
        </w:rPr>
        <w:t xml:space="preserve">, предлагается направить в местный бюджет города Кара-Балта.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договоры купли-продажи, заключенные при приватизации, по соглашению сторон могут вноситься изменения. При этом изменения не могут предусматривать ослабления ответственности покупателя за невыполнение взятых им обязательств, определенных договором купли-продажи, уменьшения продажной цены имущества.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об итогах реализации настоящей Программы и результатах сделок по приватизации объектов муниципальной собственности в установленном порядке будет размещена на официальном сайте исполнительных органов местного самоуправления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УКСиМС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А.Байышбаев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a_wxof4mvh297jzs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dalil.kg/document/230017932</w:t>
      </w:r>
    </w:hyperlink>
  </w:p>
  <w:p>
    <w:pPr>
      <w:spacing w:after="0" w:before="40"/>
      <w:jc w:val="center"/>
    </w:pPr>
    <w:hyperlink w:history="1" r:id="rId2r9zl4h1wphsnelf4_-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vuagn7kgiaca-nqh0c7" Type="http://schemas.openxmlformats.org/officeDocument/2006/relationships/hyperlink" Target="https://dalil.kg/document/992#st_19" TargetMode="External"/><Relationship Id="rIdxlhb2xe7tgui4222fekqg" Type="http://schemas.openxmlformats.org/officeDocument/2006/relationships/hyperlink" Target="https://dalil.kg/document/218#st_39" TargetMode="External"/><Relationship Id="rId2cmama5bszioax_0t-1ii" Type="http://schemas.openxmlformats.org/officeDocument/2006/relationships/hyperlink" Target="https://dalil.kg/document/230017935" TargetMode="External"/><Relationship Id="rIddxbrtya3ztqymwr9e_9i4" Type="http://schemas.openxmlformats.org/officeDocument/2006/relationships/hyperlink" Target="https://dalil.kg/document/230017932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a_wxof4mvh297jzsrhv" Type="http://schemas.openxmlformats.org/officeDocument/2006/relationships/hyperlink" Target="https://dalil.kg/document/230017932" TargetMode="External"/><Relationship Id="rId2r9zl4h1wphsnelf4_-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2026-09-27T21:48:14.823Z</dcterms:created>
  <dcterms:modified xsi:type="dcterms:W3CDTF">2026-09-27T21:48:14.823Z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