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kjdy2wtupqlbaxvxyg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декабря 2024 года № 766)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взимания сборов на ремонт, содержание, строительство и реконструкцию автомобильных дорог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взимания сборов на ремонт, содержание, строительство и реконструкцию автомобильных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юридические и физические лица независимо от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сборы на ремонт, содержание, строительство и реконструкцию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 - взнос, взимаемый с юридических или физических лиц, импортирующих и/или производящих бензин и дизельное топливо, согласно </w:t>
      </w:r>
      <w:hyperlink w:history="1" r:id="rIdplcw8wjhw_e782j9ppj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</w:t>
      </w:r>
      <w:r>
        <w:rPr>
          <w:rFonts w:ascii="Arial" w:cs="Arial" w:eastAsia="Arial" w:hAnsi="Arial"/>
          <w:sz w:val="24"/>
          <w:szCs w:val="24"/>
        </w:rPr>
        <w:t xml:space="preserve"> - юридические или физические лица, импортирующие на территорию Кыргызской Республики и/или производящие на территории Кыргызской Республики бензин и дизельное топливо.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Плательщик сборов на ремонт, содержание, строительство и реконструкцию автомобильных дорог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Плательщиками сборов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импортеры, осуществляющие ввоз на территорию Кыргызской Республики бензина и дизельного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производители бензина и дизельного топлива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Плательщики несут полную ответственность за своевременную уплату сборов, а также за правильность и достоверность предоставляемой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Взимание сборов с плательщиков осуществляется в национальной валюте.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Сборы взимаются с бензина и дизельного топлива, прошедших идентификацию наименования и марки в соответствии с требованиями действующих межгосударственных стандартов (ГОСТ) и технических регламентов ЕАЭС, а также прошедших в установленном порядке маркировку.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Плательщик производит оплату одним из следующих способов: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банковские учреждения или платежные терминалы;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использования государственной системы электронных платежей, предусмотренной законодательством Кыргызской Республики в сфере электронного 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взимания сборов на ремонт, содержание, строительство и реконструкцию автомобильных дорог с импортера и/или производителя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Сборы взимаются на основании импортируемых и/или произведенных объемов бензина и дизельного топлива. При расчете сумма сборов округляется до целого числа.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Ставка сборов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литр ⨯ 1 сом = сборы.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Плательщики обязаны ежемесячно уплачивать сборы не позднее 10 числа месяца, следующего за отчетным.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Плательщик ведет учет объемов импортируемых и/или произведенных бензина и дизельного топлива.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Отчетность подается плательщиком ежеквартально, не позднее 20 числа месяца, следующего за отчетным периодом, в электронном виде в уполномоченный государственный орган в сфере транспорта и 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заполнения отчетности определяются уполномоченным государственным органом в сфере транспорта и 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транспорта и коммуникаций осуществляет учет и контроль за поступлением сборов на ремонт, содержание, строительство и реконструкцию автомобильных дорог в порядке, предусмотренном законодательством Кыргызской Республики о неналоговых доходах.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и аудит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эффективного контроля оборота бензина и дизельного топлива на территории Кыргызской Республики импортеры и/или производители обязаны интегрировать свою отчетность с международными системами учета бензина и дизельного топлива, обеспечивая доступ к данным по всем перемещениям и отгрузкам бензина и дизельного топлива как внутри страны, так и при их ввозе.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сфере транспорта и коммуникаций для сверки объема, импортируемого и/или произведенного бензина и дизельного топлива производит обмен информацией с уполномоченным налоговым органом и уполномоченным таможенным органом в рамках соответствующих соглашений.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использование сборов на ремонт, содержание, строительство и реконструкцию автомобильных дорог строго по целевому назначению возлагается на уполномоченный государственный орган в сфере транспорта и 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положений настоящего Положения предусмотрена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взимания сборов на ремонт, содержание, строительство и реконструкцию автомобильных дорог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8041"/>
        <w:gridCol w:w="1664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менее 80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80 или более, но менее 92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92 или более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прочие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95 или более, но менее 98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98 или более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 более 0,013 г/л: с октановым числом менее 98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2710 12 510 0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 более 0,013 г/л: с октановым числом 98 или более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топливо: летнее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топливо: зимнее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топливо: межсезонное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топливо: прочее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qvdcu6d0prp8vkrld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dalil.kg/document/230019569</w:t>
      </w:r>
    </w:hyperlink>
  </w:p>
  <w:p>
    <w:pPr>
      <w:spacing w:after="0" w:before="40"/>
      <w:jc w:val="center"/>
    </w:pPr>
    <w:hyperlink w:history="1" r:id="rIdblckwo221o9qbpjget8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jdy2wtupqlbaxvxyg4w" Type="http://schemas.openxmlformats.org/officeDocument/2006/relationships/hyperlink" Target="https://dalil.kg/document/230019486" TargetMode="External"/><Relationship Id="rIdplcw8wjhw_e782j9ppjk1" Type="http://schemas.openxmlformats.org/officeDocument/2006/relationships/hyperlink" Target="https://dalil.kg/document/23001956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qvdcu6d0prp8vkrldh_" Type="http://schemas.openxmlformats.org/officeDocument/2006/relationships/hyperlink" Target="https://dalil.kg/document/230019569" TargetMode="External"/><Relationship Id="rIdblckwo221o9qbpjget8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2026-09-25T05:05:48.288Z</dcterms:created>
  <dcterms:modified xsi:type="dcterms:W3CDTF">2026-09-25T05:05:48.288Z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