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5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2610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внесении изменений в некоторые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законодательные акты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сфере налогообложения»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 </w:t>
      </w:r>
      <w:r>
        <w:rPr>
          <w:rFonts w:ascii="Arial" w:cs="Arial" w:eastAsia="Arial" w:hAnsi="Arial"/>
          <w:sz w:val="24"/>
          <w:szCs w:val="24"/>
        </w:rPr>
        <w:t xml:space="preserve">проект Закона Кыргызской Республики </w:t>
      </w:r>
      <w:r>
        <w:rPr>
          <w:rFonts w:ascii="Arial" w:cs="Arial" w:eastAsia="Arial" w:hAnsi="Arial"/>
          <w:sz w:val="24"/>
          <w:szCs w:val="24"/>
        </w:rPr>
        <w:t xml:space="preserve">«О внесении изменений в некоторые законодательные акты Кыргызской Республики в сфере налогообложения», инициированный Председателем Кабинета Министров Кыргызской Республики (исх. № 18-8684 от 30 сентября 2024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Субъектам законодательной инициативы направить в Комитет по бюджету, экономической и фискальной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бюджету, экономической и фискальной политике Жогорку Кенеша Кыргызской Республики доработать вышеуказанный проект закона 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p6gpt0p8-f6fvszcwj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dalil.kg/document/230019750</w:t>
      </w:r>
    </w:hyperlink>
  </w:p>
  <w:p>
    <w:pPr>
      <w:spacing w:after="0" w:before="40"/>
      <w:jc w:val="center"/>
    </w:pPr>
    <w:hyperlink w:history="1" r:id="rIdvvswfe_qqbixpck1mft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p6gpt0p8-f6fvszcwjgg" Type="http://schemas.openxmlformats.org/officeDocument/2006/relationships/hyperlink" Target="https://dalil.kg/document/230019750" TargetMode="External"/><Relationship Id="rIdvvswfe_qqbixpck1mftd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2026-09-27T15:11:10.110Z</dcterms:created>
  <dcterms:modified xsi:type="dcterms:W3CDTF">2026-09-27T15:11:10.110Z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