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ojtokli3hbv8q-3lcsm8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мая 2025 года № 282</w:t>
      </w:r>
    </w:p>
    <w:p>
      <w:pPr>
        <w:spacing w:after="360"/>
        <w:jc w:val="center"/>
      </w:pPr>
      <w:r>
        <w:rPr>
          <w:rFonts w:ascii="Arial" w:cs="Arial" w:eastAsia="Arial" w:hAnsi="Arial"/>
          <w:sz w:val="24"/>
          <w:szCs w:val="24"/>
        </w:rPr>
        <w:t xml:space="preserve"/>
      </w:r>
    </w:p>
    <w:p>
      <w:pPr>
        <w:spacing w:after="12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10 декабря 2024 года № 751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подготовке отраслей экономики и населения Кыргызской Республики к осенне-зимнему периоду 2024/2025 года" от 28 мая 2024 года № 265</w:t>
      </w:r>
    </w:p>
    <w:p>
      <w:pPr>
        <w:spacing w:after="120"/>
        <w:ind w:firstLine="567"/>
        <w:jc w:val="both"/>
      </w:pPr>
      <w:r>
        <w:rPr>
          <w:rFonts w:ascii="Arial" w:cs="Arial" w:eastAsia="Arial" w:hAnsi="Arial"/>
          <w:sz w:val="24"/>
          <w:szCs w:val="24"/>
        </w:rPr>
        <w:t xml:space="preserve">В целях обеспечения стабильного прохождения отраслями экономики и населением Кыргызской Республики осенне-зимнего периода 2024/2025 года,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pqcl45fou6q4mtljs_az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2024/2025 года" от 28 мая 2024 года № 265 следующие изменения:</w:t>
      </w:r>
    </w:p>
    <w:p>
      <w:pPr>
        <w:spacing w:after="120"/>
        <w:ind w:firstLine="567"/>
        <w:jc w:val="both"/>
      </w:pPr>
      <w:r>
        <w:rPr>
          <w:rFonts w:ascii="Arial" w:cs="Arial" w:eastAsia="Arial" w:hAnsi="Arial"/>
          <w:sz w:val="24"/>
          <w:szCs w:val="24"/>
        </w:rPr>
        <w:t xml:space="preserve">- абзац первый пункта 1 изложить в следующей редакции:</w:t>
      </w:r>
    </w:p>
    <w:p>
      <w:pPr>
        <w:spacing w:after="120"/>
        <w:ind w:firstLine="567"/>
        <w:jc w:val="both"/>
      </w:pPr>
      <w:r>
        <w:rPr>
          <w:rFonts w:ascii="Arial" w:cs="Arial" w:eastAsia="Arial" w:hAnsi="Arial"/>
          <w:sz w:val="24"/>
          <w:szCs w:val="24"/>
        </w:rPr>
        <w:t xml:space="preserve">"1. Министерствам, государственному комитету, административным ведомствам, государственному предприятию "Кыргызкомур" при Министерстве энергетики Кыргызской Республики (далее - ГП "Кыргызкомур"), муниципальным теплоснабжающим предприятиям, аппаратам полномочных представителей Президента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"Электрические станции", "Национальная электрическая сеть Кыргызстана", "Кыргызский энергетический расчетный центр", "Чакан ГЭС", "Кыргызнефтегаз", обществу с ограниченной ответственностью (далее - ОсОО) "Газпром Кыргызстан" и Ошскому муниципальному предприятию "Теплоснабжение":";</w:t>
      </w:r>
    </w:p>
    <w:p>
      <w:pPr>
        <w:spacing w:after="120"/>
        <w:ind w:firstLine="567"/>
        <w:jc w:val="both"/>
      </w:pPr>
      <w:r>
        <w:rPr>
          <w:rFonts w:ascii="Arial" w:cs="Arial" w:eastAsia="Arial" w:hAnsi="Arial"/>
          <w:sz w:val="24"/>
          <w:szCs w:val="24"/>
        </w:rPr>
        <w:t xml:space="preserve">- в пунктах 2, 3, 10 и 16 слова "ГП "Кыргызтеплоэнерго" заменить словами "муниципальные теплоснабжающие предприятия" в соответствующих падежах;</w:t>
      </w:r>
    </w:p>
    <w:p>
      <w:pPr>
        <w:spacing w:after="120"/>
        <w:ind w:firstLine="567"/>
        <w:jc w:val="both"/>
      </w:pPr>
      <w:r>
        <w:rPr>
          <w:rFonts w:ascii="Arial" w:cs="Arial" w:eastAsia="Arial" w:hAnsi="Arial"/>
          <w:sz w:val="24"/>
          <w:szCs w:val="24"/>
        </w:rPr>
        <w:t xml:space="preserve">- пункт 12 изложить в следующей редакции:</w:t>
      </w:r>
    </w:p>
    <w:p>
      <w:pPr>
        <w:spacing w:after="120"/>
        <w:ind w:firstLine="567"/>
        <w:jc w:val="both"/>
      </w:pPr>
      <w:r>
        <w:rPr>
          <w:rFonts w:ascii="Arial" w:cs="Arial" w:eastAsia="Arial" w:hAnsi="Arial"/>
          <w:sz w:val="24"/>
          <w:szCs w:val="24"/>
        </w:rPr>
        <w:t xml:space="preserve">"12. Возложить персональную ответственность за:</w:t>
      </w:r>
    </w:p>
    <w:p>
      <w:pPr>
        <w:spacing w:after="120"/>
        <w:ind w:firstLine="567"/>
        <w:jc w:val="both"/>
      </w:pPr>
      <w:r>
        <w:rPr>
          <w:rFonts w:ascii="Arial" w:cs="Arial" w:eastAsia="Arial" w:hAnsi="Arial"/>
          <w:sz w:val="24"/>
          <w:szCs w:val="24"/>
        </w:rPr>
        <w:t xml:space="preserve">1) надлежащую подготовку, прохождение осенне-зимнего периода 2024/2025 года, обеспечение надежного бесперебойного снабжения потребителей энергетическими ресурсами на руководителей Министерства энергетики Кыргызской Республики, открытых акционерных обществ "Электрические станции", "Национальная электрическая сеть Кыргызстана", "Чакан ГЭС", муниципальных теплоснабжающих предприятий, полномочных представителей Президента Кыргызской Республики в областях, глав местных государственных администраций, мэров городов Бишкек и Ош;</w:t>
      </w:r>
    </w:p>
    <w:p>
      <w:pPr>
        <w:spacing w:after="120"/>
        <w:ind w:firstLine="567"/>
        <w:jc w:val="both"/>
      </w:pPr>
      <w:r>
        <w:rPr>
          <w:rFonts w:ascii="Arial" w:cs="Arial" w:eastAsia="Arial" w:hAnsi="Arial"/>
          <w:sz w:val="24"/>
          <w:szCs w:val="24"/>
        </w:rPr>
        <w:t xml:space="preserve">2) выполнение установленных лимитов потребления электрической энергии и мощности - на полномочных представителей Президента Кыргызской Республики в областях, глав местных государственных администраций, глав айыл окмоту, мэров городов Бишкек и Ош, руководителей Министерства энергетики Кыргызской Республики, открытых акционерных обществ "Национальная электрическая сеть Кыргызстана" и "Кыргызский энергетический расчетный центр";</w:t>
      </w:r>
    </w:p>
    <w:p>
      <w:pPr>
        <w:spacing w:after="120"/>
        <w:ind w:firstLine="567"/>
        <w:jc w:val="both"/>
      </w:pPr>
      <w:r>
        <w:rPr>
          <w:rFonts w:ascii="Arial" w:cs="Arial" w:eastAsia="Arial" w:hAnsi="Arial"/>
          <w:sz w:val="24"/>
          <w:szCs w:val="24"/>
        </w:rPr>
        <w:t xml:space="preserve">3) качество и своевременность проведения ремонтно-восстановительных работ энергооборудования - на руководителей Министерства энергетики Кыргызской Республики, открытых акционерных обществ "Национальная электрическая сеть Кыргызстана", "Электрические станции", "Чакан ГЭС", муниципальных теплоснабжающих предприятий, полномочных представителей Президента Кыргызской Республики в областях, глав местных государственных администраций, мэров городов Бишкек и Ош;</w:t>
      </w:r>
    </w:p>
    <w:p>
      <w:pPr>
        <w:spacing w:after="120"/>
        <w:ind w:firstLine="567"/>
        <w:jc w:val="both"/>
      </w:pPr>
      <w:r>
        <w:rPr>
          <w:rFonts w:ascii="Arial" w:cs="Arial" w:eastAsia="Arial" w:hAnsi="Arial"/>
          <w:sz w:val="24"/>
          <w:szCs w:val="24"/>
        </w:rPr>
        <w:t xml:space="preserve">4) возникновение просрочки платежей за электрическую и тепловую энергию и природный газ - на руководителей бюджетных организаций.";</w:t>
      </w:r>
    </w:p>
    <w:p>
      <w:pPr>
        <w:spacing w:after="120"/>
        <w:ind w:firstLine="567"/>
        <w:jc w:val="both"/>
      </w:pPr>
      <w:r>
        <w:rPr>
          <w:rFonts w:ascii="Arial" w:cs="Arial" w:eastAsia="Arial" w:hAnsi="Arial"/>
          <w:sz w:val="24"/>
          <w:szCs w:val="24"/>
        </w:rPr>
        <w:t xml:space="preserve">- в пункте 13 слова "филиалов ГП "Кыргызтеплоэнерго" заменить словами "муниципальных теплоснабжающих предприятий";</w:t>
      </w:r>
    </w:p>
    <w:p>
      <w:pPr>
        <w:spacing w:after="120"/>
        <w:ind w:firstLine="567"/>
        <w:jc w:val="both"/>
      </w:pPr>
      <w:r>
        <w:rPr>
          <w:rFonts w:ascii="Arial" w:cs="Arial" w:eastAsia="Arial" w:hAnsi="Arial"/>
          <w:sz w:val="24"/>
          <w:szCs w:val="24"/>
        </w:rPr>
        <w:t xml:space="preserve">- в пункте 14:</w:t>
      </w:r>
    </w:p>
    <w:p>
      <w:pPr>
        <w:spacing w:after="120"/>
        <w:ind w:firstLine="567"/>
        <w:jc w:val="both"/>
      </w:pPr>
      <w:r>
        <w:rPr>
          <w:rFonts w:ascii="Arial" w:cs="Arial" w:eastAsia="Arial" w:hAnsi="Arial"/>
          <w:sz w:val="24"/>
          <w:szCs w:val="24"/>
        </w:rPr>
        <w:t xml:space="preserve">в подпункте 1 слова "филиалам ГП "Кыргызтеплоэнерго" заменить словами "муниципальным теплоснабжающим предприятиям";</w:t>
      </w:r>
    </w:p>
    <w:p>
      <w:pPr>
        <w:spacing w:after="120"/>
        <w:ind w:firstLine="567"/>
        <w:jc w:val="both"/>
      </w:pPr>
      <w:r>
        <w:rPr>
          <w:rFonts w:ascii="Arial" w:cs="Arial" w:eastAsia="Arial" w:hAnsi="Arial"/>
          <w:sz w:val="24"/>
          <w:szCs w:val="24"/>
        </w:rPr>
        <w:t xml:space="preserve">подпункт 2 изложить в следующей редакции:</w:t>
      </w:r>
    </w:p>
    <w:p>
      <w:pPr>
        <w:spacing w:after="120"/>
        <w:ind w:firstLine="567"/>
        <w:jc w:val="both"/>
      </w:pPr>
      <w:r>
        <w:rPr>
          <w:rFonts w:ascii="Arial" w:cs="Arial" w:eastAsia="Arial" w:hAnsi="Arial"/>
          <w:sz w:val="24"/>
          <w:szCs w:val="24"/>
        </w:rPr>
        <w:t xml:space="preserve">"2) обеспечить поставку топочного мазута на ТЭЦ города Ош и муниципальным теплоснабжающим предприятиям.";</w:t>
      </w:r>
    </w:p>
    <w:p>
      <w:pPr>
        <w:spacing w:after="120"/>
        <w:ind w:firstLine="567"/>
        <w:jc w:val="both"/>
      </w:pPr>
      <w:r>
        <w:rPr>
          <w:rFonts w:ascii="Arial" w:cs="Arial" w:eastAsia="Arial" w:hAnsi="Arial"/>
          <w:sz w:val="24"/>
          <w:szCs w:val="24"/>
        </w:rPr>
        <w:t xml:space="preserve">- в приложениях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и </w:t>
      </w:r>
      <w:r>
        <w:rPr>
          <w:rFonts w:ascii="Arial" w:cs="Arial" w:eastAsia="Arial" w:hAnsi="Arial"/>
          <w:sz w:val="24"/>
          <w:szCs w:val="24"/>
        </w:rPr>
        <w:t xml:space="preserve">20</w:t>
      </w:r>
      <w:r>
        <w:rPr>
          <w:rFonts w:ascii="Arial" w:cs="Arial" w:eastAsia="Arial" w:hAnsi="Arial"/>
          <w:sz w:val="24"/>
          <w:szCs w:val="24"/>
        </w:rPr>
        <w:t xml:space="preserve"> к вышеуказанному постановлению слова "ГП "Кыргызтеплоэнерго" заменить словами "муниципальные теплоснабжающие предприятия" в соответствующих падежах;</w:t>
      </w:r>
    </w:p>
    <w:p>
      <w:pPr>
        <w:spacing w:after="120"/>
        <w:ind w:firstLine="567"/>
        <w:jc w:val="both"/>
      </w:pPr>
      <w:r>
        <w:rPr>
          <w:rFonts w:ascii="Arial" w:cs="Arial" w:eastAsia="Arial" w:hAnsi="Arial"/>
          <w:sz w:val="24"/>
          <w:szCs w:val="24"/>
        </w:rPr>
        <w:t xml:space="preserve">- приложения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15</w:t>
      </w:r>
      <w:r>
        <w:rPr>
          <w:rFonts w:ascii="Arial" w:cs="Arial" w:eastAsia="Arial" w:hAnsi="Arial"/>
          <w:sz w:val="24"/>
          <w:szCs w:val="24"/>
        </w:rPr>
        <w:t xml:space="preserve"> и </w:t>
      </w:r>
      <w:r>
        <w:rPr>
          <w:rFonts w:ascii="Arial" w:cs="Arial" w:eastAsia="Arial" w:hAnsi="Arial"/>
          <w:sz w:val="24"/>
          <w:szCs w:val="24"/>
        </w:rPr>
        <w:t xml:space="preserve">16</w:t>
      </w:r>
      <w:r>
        <w:rPr>
          <w:rFonts w:ascii="Arial" w:cs="Arial" w:eastAsia="Arial" w:hAnsi="Arial"/>
          <w:sz w:val="24"/>
          <w:szCs w:val="24"/>
        </w:rPr>
        <w:t xml:space="preserve"> к вышеуказанному постановлению изложить в редакции согласно приложениям </w:t>
      </w:r>
      <w:hyperlink w:history="1" r:id="rId9gkqrtf-rtw0varfhhzdq">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h-0e2iorhgo-gxoyudedf">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lzyxvc1fybgd30oqcsiik">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uucem7g5dovqrf2qsgf_e">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ixau44z2ry9xvb7gij7xm">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ihgnttvwvrpzojwasayyl">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mpatznzsmey4qdb1yoq9w">
        <w:r>
          <w:rPr>
            <w:rFonts w:ascii="Arial" w:cs="Arial" w:eastAsia="Arial" w:hAnsi="Arial"/>
            <w:color w:val="1D4ED8"/>
            <w:sz w:val="24"/>
            <w:szCs w:val="24"/>
            <w:u w:val="single"/>
          </w:rPr>
          <w:t xml:space="preserve">7</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13 декабря 2024 года № 96</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7</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городу Бишкек к осенне-зимнему периоду 2024/2025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3099"/>
        <w:gridCol w:w="538"/>
        <w:gridCol w:w="518"/>
        <w:gridCol w:w="518"/>
        <w:gridCol w:w="518"/>
        <w:gridCol w:w="518"/>
        <w:gridCol w:w="518"/>
        <w:gridCol w:w="518"/>
        <w:gridCol w:w="518"/>
        <w:gridCol w:w="518"/>
        <w:gridCol w:w="518"/>
        <w:gridCol w:w="517"/>
        <w:gridCol w:w="517"/>
        <w:gridCol w:w="517"/>
      </w:tblGrid>
      <w:tr>
        <w:tc>
          <w:tcPr>
            <w:tcW w:type="dxa" w:w="3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5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66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55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4547,593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323,561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283,375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287,409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310,336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281,824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266,414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347,425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432,958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533,443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568,502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481,469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430,876</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2897,669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209,687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181,491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187,069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203,646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176,363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159,685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220,283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272,486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350,316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366,491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301,590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268,564</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1181,970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81,889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77,227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75,133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80,191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81,290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82,079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125,376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135,285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124,509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114,978</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154,382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16,829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15,514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13,493</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0,855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0,078</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312,716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19,754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14,143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14,748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14,717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19,886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38,860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40,837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47,786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39,769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33,763</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648</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160,100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здравоохранения, республиканский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0,169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0,256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0,034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0,290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w:t>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0,540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0,660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0,660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0,450</w:t>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0,041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0,004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МП "Бишкек ТЭЦ":</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1150,000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(млн.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110,679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13,127</w:t>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10</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Кыргызской Республике к осенне-зимнему периоду 2024/2025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2952"/>
        <w:gridCol w:w="555"/>
        <w:gridCol w:w="526"/>
        <w:gridCol w:w="526"/>
        <w:gridCol w:w="526"/>
        <w:gridCol w:w="526"/>
        <w:gridCol w:w="526"/>
        <w:gridCol w:w="526"/>
        <w:gridCol w:w="526"/>
        <w:gridCol w:w="526"/>
        <w:gridCol w:w="526"/>
        <w:gridCol w:w="517"/>
        <w:gridCol w:w="517"/>
        <w:gridCol w:w="517"/>
      </w:tblGrid>
      <w:tr>
        <w:tc>
          <w:tcPr>
            <w:tcW w:type="dxa" w:w="3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734"/>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55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республике, всего:</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17789,457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1289,518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1105,231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1058,780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1126,215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1062,769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1007,808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1350,857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1738,820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2119,078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2261,546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1952,203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1716,632</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13463,385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969,680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797,809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757,409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802,583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741,458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700,546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1012,519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1349,831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1683,241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1799,745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1529,351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1319,213</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2541,466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188,206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202,073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205,178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207,972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214,742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232,589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240,384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229,065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227,710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компании Кумтор ОК</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331,815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27,171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28,613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28,830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29,822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1058,542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73,748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64,216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66,707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57,374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76,555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98,805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122,114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137,195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117,936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102,055</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0,316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0,680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0,695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0,627</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389,147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19,487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46,997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50,632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57,463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48,656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41,527</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республике (МВт)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1867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2251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2659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2942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3101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2963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2518</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1922</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Кумтор ОК (МВт)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республике, всего:</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4407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3118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1366,645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204,682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247,658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257,926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180,960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135,083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107,268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44,937</w:t>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19,636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19,052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116,712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0,321</w:t>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4,655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0,799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11,530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w:t>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3,712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0,342</w:t>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ПЛ,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2,442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0,632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100,761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18,792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24,351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МП "Бишкек ТЭЦ"</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(млн.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110,679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13,127</w:t>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МП "Ош ТЭЦ":</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(млн.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0,4432</w:t>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НЭС Кыргызстана</w:t>
      </w:r>
      <w:r>
        <w:rPr>
          <w:rFonts w:ascii="Arial" w:cs="Arial" w:eastAsia="Arial" w:hAnsi="Arial"/>
          <w:sz w:val="24"/>
          <w:szCs w:val="24"/>
        </w:rPr>
        <w:t xml:space="preserve">	</w:t>
      </w:r>
      <w:r>
        <w:rPr>
          <w:rFonts w:ascii="Arial" w:cs="Arial" w:eastAsia="Arial" w:hAnsi="Arial"/>
          <w:sz w:val="24"/>
          <w:szCs w:val="24"/>
        </w:rPr>
        <w:t xml:space="preserve">Национальная электрическая сеть Кыргызстана</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Минздрав</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СИН</w:t>
      </w:r>
      <w:r>
        <w:rPr>
          <w:rFonts w:ascii="Arial" w:cs="Arial" w:eastAsia="Arial" w:hAnsi="Arial"/>
          <w:sz w:val="24"/>
          <w:szCs w:val="24"/>
        </w:rPr>
        <w:t xml:space="preserve">	</w:t>
      </w:r>
      <w:r>
        <w:rPr>
          <w:rFonts w:ascii="Arial" w:cs="Arial" w:eastAsia="Arial" w:hAnsi="Arial"/>
          <w:sz w:val="24"/>
          <w:szCs w:val="24"/>
        </w:rPr>
        <w:t xml:space="preserve">Служба исполнения наказаний при Министерстве юстиции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ПЛ</w:t>
      </w:r>
      <w:r>
        <w:rPr>
          <w:rFonts w:ascii="Arial" w:cs="Arial" w:eastAsia="Arial" w:hAnsi="Arial"/>
          <w:sz w:val="24"/>
          <w:szCs w:val="24"/>
        </w:rPr>
        <w:t xml:space="preserve">	</w:t>
      </w:r>
      <w:r>
        <w:rPr>
          <w:rFonts w:ascii="Arial" w:cs="Arial" w:eastAsia="Arial" w:hAnsi="Arial"/>
          <w:sz w:val="24"/>
          <w:szCs w:val="24"/>
        </w:rPr>
        <w:t xml:space="preserve">профессиональный лицей</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теплоэлектроцентраль</w:t>
      </w:r>
    </w:p>
    <w:p>
      <w:pPr>
        <w:tabs>
          <w:tab w:val="right" w:pos="10178"/>
        </w:tabs>
        <w:spacing w:after="120"/>
      </w:pPr>
      <w:r>
        <w:rPr>
          <w:rFonts w:ascii="Arial" w:cs="Arial" w:eastAsia="Arial" w:hAnsi="Arial"/>
          <w:b/>
          <w:bCs/>
          <w:sz w:val="24"/>
          <w:szCs w:val="24"/>
        </w:rPr>
        <w:t xml:space="preserve">ПС ГКНБ КР</w:t>
      </w:r>
      <w:r>
        <w:rPr>
          <w:rFonts w:ascii="Arial" w:cs="Arial" w:eastAsia="Arial" w:hAnsi="Arial"/>
          <w:sz w:val="24"/>
          <w:szCs w:val="24"/>
        </w:rPr>
        <w:t xml:space="preserve">	</w:t>
      </w: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КПП</w:t>
      </w:r>
      <w:r>
        <w:rPr>
          <w:rFonts w:ascii="Arial" w:cs="Arial" w:eastAsia="Arial" w:hAnsi="Arial"/>
          <w:sz w:val="24"/>
          <w:szCs w:val="24"/>
        </w:rPr>
        <w:t xml:space="preserve">	</w:t>
      </w:r>
      <w:r>
        <w:rPr>
          <w:rFonts w:ascii="Arial" w:cs="Arial" w:eastAsia="Arial" w:hAnsi="Arial"/>
          <w:sz w:val="24"/>
          <w:szCs w:val="24"/>
        </w:rPr>
        <w:t xml:space="preserve">крупное промышленное предприятие</w:t>
      </w:r>
    </w:p>
    <w:p>
      <w:pPr>
        <w:tabs>
          <w:tab w:val="right" w:pos="10178"/>
        </w:tabs>
        <w:spacing w:after="120"/>
      </w:pPr>
      <w:r>
        <w:rPr>
          <w:rFonts w:ascii="Arial" w:cs="Arial" w:eastAsia="Arial" w:hAnsi="Arial"/>
          <w:b/>
          <w:bCs/>
          <w:sz w:val="24"/>
          <w:szCs w:val="24"/>
        </w:rPr>
        <w:t xml:space="preserve">ПЭС</w:t>
      </w:r>
      <w:r>
        <w:rPr>
          <w:rFonts w:ascii="Arial" w:cs="Arial" w:eastAsia="Arial" w:hAnsi="Arial"/>
          <w:sz w:val="24"/>
          <w:szCs w:val="24"/>
        </w:rPr>
        <w:t xml:space="preserve">	</w:t>
      </w:r>
      <w:r>
        <w:rPr>
          <w:rFonts w:ascii="Arial" w:cs="Arial" w:eastAsia="Arial" w:hAnsi="Arial"/>
          <w:sz w:val="24"/>
          <w:szCs w:val="24"/>
        </w:rPr>
        <w:t xml:space="preserve">предприятие электрических сетей".</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11</w:t>
      </w:r>
    </w:p>
    <w:p>
      <w:pPr>
        <w:spacing w:after="240" w:before="200"/>
        <w:jc w:val="center"/>
      </w:pPr>
      <w:r>
        <w:rPr>
          <w:rFonts w:ascii="Arial" w:cs="Arial" w:eastAsia="Arial" w:hAnsi="Arial"/>
          <w:b/>
          <w:bCs/>
          <w:sz w:val="32"/>
          <w:szCs w:val="32"/>
        </w:rPr>
        <w:t xml:space="preserve">ЗАДАНИЕ
 ГП "Кыргызкомур", ОсОО "Газпром Кыргызстана", мэриям городов Бишкек и Ош, ОАО "Кыргызнефтегаз", МП "Бишкек ТЭЦ", МП "ТЭЦ города Ош" по поставке угля, природного газа и мазута на тепловые электростанции для подготовки к осенне-зимнему сезону 2024/2025 года</w:t>
      </w:r>
    </w:p>
    <w:p>
      <w:pPr>
        <w:spacing w:after="120"/>
        <w:ind w:firstLine="567"/>
        <w:jc w:val="right"/>
      </w:pPr>
      <w:r>
        <w:rPr>
          <w:rFonts w:ascii="Arial" w:cs="Arial" w:eastAsia="Arial" w:hAnsi="Arial"/>
          <w:sz w:val="24"/>
          <w:szCs w:val="24"/>
        </w:rPr>
        <w:t xml:space="preserve">(уголь, мазут - тыс.т,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6"/>
        <w:gridCol w:w="473"/>
        <w:gridCol w:w="685"/>
        <w:gridCol w:w="450"/>
        <w:gridCol w:w="450"/>
        <w:gridCol w:w="450"/>
        <w:gridCol w:w="450"/>
        <w:gridCol w:w="450"/>
        <w:gridCol w:w="450"/>
        <w:gridCol w:w="450"/>
        <w:gridCol w:w="450"/>
        <w:gridCol w:w="450"/>
        <w:gridCol w:w="450"/>
        <w:gridCol w:w="450"/>
        <w:gridCol w:w="450"/>
        <w:gridCol w:w="450"/>
        <w:gridCol w:w="450"/>
        <w:gridCol w:w="450"/>
        <w:gridCol w:w="450"/>
        <w:gridCol w:w="881"/>
      </w:tblGrid>
      <w:tr>
        <w:tc>
          <w:tcPr>
            <w:tcW w:type="dxa" w:w="94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на 01.04.24 г.</w:t>
            </w:r>
          </w:p>
        </w:tc>
        <w:tc>
          <w:tcPr>
            <w:tcW w:type="dxa" w:w="6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II-IV кв. 2024 г. и в I кв. 2025 г.</w:t>
            </w:r>
          </w:p>
        </w:tc>
        <w:tc>
          <w:tcPr>
            <w:tcW w:type="dxa" w:w="7200"/>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График поставки</w:t>
            </w:r>
          </w:p>
        </w:tc>
        <w:tc>
          <w:tcPr>
            <w:tcW w:type="dxa" w:w="8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00"/>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8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vMerge w:val="continue"/>
            <w:tcBorders>
              <w:top w:val="single" w:color="CBBF9E" w:sz="4"/>
              <w:left w:val="none" w:color="auto" w:sz="0"/>
              <w:bottom w:val="single" w:color="CBBF9E" w:sz="4"/>
              <w:right w:val="single" w:color="CBBF9E" w:sz="4"/>
            </w:tcBorders>
          </w:tcP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 ТЭЦ"</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278,67</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566</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Д, ДГ, Г</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122,90</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 "Бишкек ТЭЦ"</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155,77</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446</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высококалорийный БР, БЗ 5500 ккал/кг</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МП "Бишкек ТЭЦ"</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124,81</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ГП "Кыргызкомур", угледобывающие предприятия, МП "Бишкек ТЭЦ"</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30,96</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 "Бишкек ТЭЦ"</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 "Бишкек ТЭЦ"</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110,679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5,735</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18,611</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11,544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38,309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13,127</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42,215</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ОсОО "Газпром Кыргызстан", МП "Бишкек ТЭЦ"</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"ТЭЦ города Ош"</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г.Ош, ОАО "КНГ", МП "ТЭЦ г.Ош"</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0,17688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2,82096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0,4432</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1,4432</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г.Ош, ОсОО "Газпром Кыргызстан", МП "ТЭЦ г.Ош"</w:t>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12</w:t>
      </w:r>
    </w:p>
    <w:p>
      <w:pPr>
        <w:spacing w:after="240" w:before="200"/>
        <w:jc w:val="center"/>
      </w:pPr>
      <w:r>
        <w:rPr>
          <w:rFonts w:ascii="Arial" w:cs="Arial" w:eastAsia="Arial" w:hAnsi="Arial"/>
          <w:b/>
          <w:bCs/>
          <w:sz w:val="32"/>
          <w:szCs w:val="32"/>
        </w:rPr>
        <w:t xml:space="preserve">ЗАДАНИЕ
 ОАО "Кыргызнефтегаз" на поставку природного газа и мазута для подготовки к осенне-зимнему периоду 2024/2025 года</w:t>
      </w:r>
    </w:p>
    <w:p>
      <w:pPr>
        <w:spacing w:after="120"/>
        <w:ind w:firstLine="567"/>
        <w:jc w:val="right"/>
      </w:pPr>
      <w:r>
        <w:rPr>
          <w:rFonts w:ascii="Arial" w:cs="Arial" w:eastAsia="Arial" w:hAnsi="Arial"/>
          <w:sz w:val="24"/>
          <w:szCs w:val="24"/>
        </w:rPr>
        <w:t xml:space="preserve">(мазут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9"/>
        <w:gridCol w:w="1990"/>
        <w:gridCol w:w="512"/>
        <w:gridCol w:w="512"/>
        <w:gridCol w:w="512"/>
        <w:gridCol w:w="512"/>
        <w:gridCol w:w="512"/>
        <w:gridCol w:w="512"/>
        <w:gridCol w:w="512"/>
        <w:gridCol w:w="512"/>
        <w:gridCol w:w="512"/>
        <w:gridCol w:w="512"/>
        <w:gridCol w:w="512"/>
        <w:gridCol w:w="512"/>
      </w:tblGrid>
      <w:tr>
        <w:tc>
          <w:tcPr>
            <w:tcW w:type="dxa" w:w="203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9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II-IV кв. 2024 г. и I кв. 2025 г.</w:t>
            </w:r>
          </w:p>
        </w:tc>
        <w:tc>
          <w:tcPr>
            <w:tcW w:type="dxa" w:w="6144"/>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0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5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Поставка топливных ресурсов</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Природный газ</w:t>
            </w:r>
            <w:r>
              <w:rPr>
                <w:rFonts w:ascii="Arial" w:cs="Arial" w:eastAsia="Arial" w:hAnsi="Arial"/>
                <w:sz w:val="24"/>
                <w:szCs w:val="24"/>
              </w:rPr>
              <w:t xml:space="preserve">, </w:t>
            </w:r>
            <w:r>
              <w:rPr>
                <w:rFonts w:ascii="Arial" w:cs="Arial" w:eastAsia="Arial" w:hAnsi="Arial"/>
                <w:b/>
                <w:bCs/>
                <w:sz w:val="24"/>
                <w:szCs w:val="24"/>
              </w:rPr>
              <w:t xml:space="preserve">всего:</w:t>
            </w:r>
          </w:p>
        </w:tc>
        <w:tc>
          <w:tcPr>
            <w:tcW w:type="dxa" w:w="199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17,768</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1,539</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1,648</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1,487</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1,549</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1,549</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1,364</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1,519</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1,523</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1,383</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1,219</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1,618</w:t>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0,93</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w:t>
            </w:r>
          </w:p>
        </w:tc>
      </w:tr>
      <w:tr>
        <w:tc>
          <w:tcPr>
            <w:tcW w:type="dxa" w:w="203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Мазут, всего:</w:t>
            </w:r>
          </w:p>
        </w:tc>
        <w:tc>
          <w:tcPr>
            <w:tcW w:type="dxa" w:w="199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47,351</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7,200</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7,450</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8,944</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6,864</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3,543</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2,750</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2,600</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г.Ош</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муниципальных теплоснабжающих предприятий</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24,351</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4,944</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3,543</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14</w:t>
      </w:r>
    </w:p>
    <w:p>
      <w:pPr>
        <w:spacing w:after="240" w:before="200"/>
        <w:jc w:val="center"/>
      </w:pPr>
      <w:r>
        <w:rPr>
          <w:rFonts w:ascii="Arial" w:cs="Arial" w:eastAsia="Arial" w:hAnsi="Arial"/>
          <w:b/>
          <w:bCs/>
          <w:sz w:val="32"/>
          <w:szCs w:val="32"/>
        </w:rPr>
        <w:t xml:space="preserve">ЗАДАНИЕ
 мэрии города Бишкек по выработке электроэнергии и мощности на МП "Бишкек ТЭЦ" на 2024 год и I квартал 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6"/>
        <w:gridCol w:w="359"/>
        <w:gridCol w:w="490"/>
        <w:gridCol w:w="490"/>
        <w:gridCol w:w="490"/>
        <w:gridCol w:w="490"/>
        <w:gridCol w:w="490"/>
        <w:gridCol w:w="490"/>
        <w:gridCol w:w="490"/>
        <w:gridCol w:w="490"/>
        <w:gridCol w:w="490"/>
        <w:gridCol w:w="490"/>
        <w:gridCol w:w="490"/>
        <w:gridCol w:w="490"/>
        <w:gridCol w:w="490"/>
        <w:gridCol w:w="490"/>
        <w:gridCol w:w="502"/>
        <w:gridCol w:w="502"/>
        <w:gridCol w:w="502"/>
        <w:gridCol w:w="502"/>
      </w:tblGrid>
      <w:tr>
        <w:tc>
          <w:tcPr>
            <w:tcW w:type="dxa" w:w="94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3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6860"/>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200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365</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686,59</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103,93</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177,13</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110,40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133,92</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756,72</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1730,84</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334,80</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302,40</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238,08</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875,28</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мэрии города Ош по выработке электроэнергии и мощности на МП "ТЭЦ города Ош" на 2024 год и I квартал 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0"/>
        <w:gridCol w:w="539"/>
        <w:gridCol w:w="462"/>
        <w:gridCol w:w="462"/>
        <w:gridCol w:w="462"/>
        <w:gridCol w:w="462"/>
        <w:gridCol w:w="462"/>
        <w:gridCol w:w="462"/>
        <w:gridCol w:w="462"/>
        <w:gridCol w:w="462"/>
        <w:gridCol w:w="462"/>
        <w:gridCol w:w="462"/>
        <w:gridCol w:w="462"/>
        <w:gridCol w:w="462"/>
        <w:gridCol w:w="462"/>
        <w:gridCol w:w="462"/>
        <w:gridCol w:w="457"/>
        <w:gridCol w:w="457"/>
        <w:gridCol w:w="457"/>
        <w:gridCol w:w="457"/>
      </w:tblGrid>
      <w:tr>
        <w:tc>
          <w:tcPr>
            <w:tcW w:type="dxa" w:w="13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5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6468"/>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82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365</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15</w:t>
      </w:r>
    </w:p>
    <w:p>
      <w:pPr>
        <w:spacing w:after="240" w:before="200"/>
        <w:jc w:val="center"/>
      </w:pPr>
      <w:r>
        <w:rPr>
          <w:rFonts w:ascii="Arial" w:cs="Arial" w:eastAsia="Arial" w:hAnsi="Arial"/>
          <w:b/>
          <w:bCs/>
          <w:sz w:val="32"/>
          <w:szCs w:val="32"/>
        </w:rPr>
        <w:t xml:space="preserve">ЗАДАНИЕ
 мэрии города Бишкек, ОАО "Электрические станции" и ОАО "НЭС Кыргызстана" по подготовке ТЭЦ и ГЭС, тепловых и электрических сетей к эксплуатации в осенне-зимний период 2024/2025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3050"/>
        <w:gridCol w:w="685"/>
        <w:gridCol w:w="604"/>
        <w:gridCol w:w="604"/>
        <w:gridCol w:w="604"/>
        <w:gridCol w:w="604"/>
        <w:gridCol w:w="604"/>
        <w:gridCol w:w="3099"/>
      </w:tblGrid>
      <w:tr>
        <w:tc>
          <w:tcPr>
            <w:tcW w:type="dxa" w:w="3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оборудования</w:t>
            </w:r>
          </w:p>
        </w:tc>
        <w:tc>
          <w:tcPr>
            <w:tcW w:type="dxa" w:w="6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302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30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квартал</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квартал</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квартал</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квартал</w:t>
            </w:r>
          </w:p>
        </w:tc>
        <w:tc>
          <w:tcPr>
            <w:vMerge w:val="continue"/>
            <w:tcBorders>
              <w:top w:val="single" w:color="CBBF9E" w:sz="4"/>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Ремонт основного оборудования МП "Бишкек ТЭЦ"</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Бишкек, МП "Бишкектеплосеть", МП "Бишкек ТЭЦ"</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шт./т пара/ч</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8/1640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7/1420</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Турбоагрегаты</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7/512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3/237</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Энергоблоки № 3, 4</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2040,2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1840</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Ремонт тепловых сетей МП "Бишкектеплосеть"</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вышедшей из строя запорной арматуры</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тепловой изоляции</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1561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Ремонт основного оборудования КП "Бишкектеплоэнерго"</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газовых котлов</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электродных котлов</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угольных котлов</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и ремонт вышедшей из строя запорной арматуры</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1850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тепловой изоляции</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средства по ремонтам</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"НЭСК"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35 кВ и выше</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791,4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трансформаторов 35 кВ и выше</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3489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3674,4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1837,24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407,6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vMerge w:val="continue"/>
            <w:tcBorders>
              <w:top w:val="none" w:color="auto" w:sz="0"/>
              <w:left w:val="none" w:color="auto" w:sz="0"/>
              <w:bottom w:val="single" w:color="CBBF9E" w:sz="4"/>
              <w:right w:val="single" w:color="CBBF9E" w:sz="4"/>
            </w:tcBorders>
          </w:tcP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16</w:t>
      </w:r>
    </w:p>
    <w:p>
      <w:pPr>
        <w:spacing w:after="240" w:before="200"/>
        <w:jc w:val="center"/>
      </w:pPr>
      <w:r>
        <w:rPr>
          <w:rFonts w:ascii="Arial" w:cs="Arial" w:eastAsia="Arial" w:hAnsi="Arial"/>
          <w:b/>
          <w:bCs/>
          <w:sz w:val="32"/>
          <w:szCs w:val="32"/>
        </w:rPr>
        <w:t xml:space="preserve">ЗАДАНИЕ
 ОАО "НЭС Кыргызстана" по строительству и реконструкции в 2024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3088"/>
        <w:gridCol w:w="817"/>
        <w:gridCol w:w="784"/>
        <w:gridCol w:w="784"/>
        <w:gridCol w:w="784"/>
        <w:gridCol w:w="784"/>
        <w:gridCol w:w="784"/>
        <w:gridCol w:w="1993"/>
      </w:tblGrid>
      <w:tr>
        <w:tc>
          <w:tcPr>
            <w:tcW w:type="dxa" w:w="3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0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8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392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9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Новое строительство:</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vMerge w:val="continue"/>
            <w:tcBorders>
              <w:top w:val="none" w:color="auto" w:sz="0"/>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ВЛ-6/10 кВ</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vMerge w:val="continue"/>
            <w:tcBorders>
              <w:top w:val="none" w:color="auto" w:sz="0"/>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ВЛ-0,4 кВ</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vMerge w:val="continue"/>
            <w:tcBorders>
              <w:top w:val="none" w:color="auto" w:sz="0"/>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Реконструкция и расширение объектов:</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ВЛ-6/10 кВ</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c>
          <w:tcPr>
            <w:vMerge w:val="continue"/>
            <w:tcBorders>
              <w:top w:val="none" w:color="auto" w:sz="0"/>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w:t>
            </w:r>
          </w:p>
        </w:tc>
        <w:tc>
          <w:tcPr>
            <w:vMerge w:val="continue"/>
            <w:tcBorders>
              <w:top w:val="none" w:color="auto" w:sz="0"/>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вложения</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2149828,0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15000,0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165000,0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642457,0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1327371,0</w:t>
            </w:r>
          </w:p>
        </w:tc>
        <w:tc>
          <w:tcPr>
            <w:vMerge w:val="continue"/>
            <w:tcBorders>
              <w:top w:val="none" w:color="auto" w:sz="0"/>
              <w:left w:val="none" w:color="auto" w:sz="0"/>
              <w:bottom w:val="single" w:color="CBBF9E" w:sz="4"/>
              <w:right w:val="single" w:color="CBBF9E" w:sz="4"/>
            </w:tcBorders>
          </w:tcPr>
          <w:p/>
        </w:tc>
      </w:tr>
    </w:tbl>
    <w:p>
      <w:pPr>
        <w:spacing w:after="120" w:before="120"/>
        <w:ind w:firstLine="567"/>
        <w:jc w:val="righ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f6waujbxjhu6ul3ydfee">
      <w:r>
        <w:rPr>
          <w:rFonts w:ascii="Arial" w:cs="Arial" w:eastAsia="Arial" w:hAnsi="Arial"/>
          <w:color w:val="132D3F"/>
          <w:sz w:val="16"/>
          <w:szCs w:val="16"/>
          <w:u w:val="single"/>
        </w:rPr>
        <w:t xml:space="preserve">dalil.kg/document/230019956</w:t>
      </w:r>
    </w:hyperlink>
  </w:p>
  <w:p>
    <w:pPr>
      <w:spacing w:after="0" w:before="40"/>
      <w:jc w:val="center"/>
    </w:pPr>
    <w:hyperlink w:history="1" r:id="rIdbkq0h47t8l2tqk6zddym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tokli3hbv8q-3lcsm8m" Type="http://schemas.openxmlformats.org/officeDocument/2006/relationships/hyperlink" Target="https://dalil.kg/document/230029332" TargetMode="External"/><Relationship Id="rIdpqcl45fou6q4mtljs_aze" Type="http://schemas.openxmlformats.org/officeDocument/2006/relationships/hyperlink" Target="https://dalil.kg/document/230007855" TargetMode="External"/><Relationship Id="rId9gkqrtf-rtw0varfhhzdq" Type="http://schemas.openxmlformats.org/officeDocument/2006/relationships/hyperlink" Target="https://dalil.kg/document/230019956#pr1" TargetMode="External"/><Relationship Id="rIdh-0e2iorhgo-gxoyudedf" Type="http://schemas.openxmlformats.org/officeDocument/2006/relationships/hyperlink" Target="https://dalil.kg/document/230019956#pr2" TargetMode="External"/><Relationship Id="rIdlzyxvc1fybgd30oqcsiik" Type="http://schemas.openxmlformats.org/officeDocument/2006/relationships/hyperlink" Target="https://dalil.kg/document/230019956#pr3" TargetMode="External"/><Relationship Id="rIduucem7g5dovqrf2qsgf_e" Type="http://schemas.openxmlformats.org/officeDocument/2006/relationships/hyperlink" Target="https://dalil.kg/document/230019956#pr4" TargetMode="External"/><Relationship Id="rIdixau44z2ry9xvb7gij7xm" Type="http://schemas.openxmlformats.org/officeDocument/2006/relationships/hyperlink" Target="https://dalil.kg/document/230019956#pr5" TargetMode="External"/><Relationship Id="rIdihgnttvwvrpzojwasayyl" Type="http://schemas.openxmlformats.org/officeDocument/2006/relationships/hyperlink" Target="https://dalil.kg/document/230019956#pr6" TargetMode="External"/><Relationship Id="rIdmpatznzsmey4qdb1yoq9w" Type="http://schemas.openxmlformats.org/officeDocument/2006/relationships/hyperlink" Target="https://dalil.kg/document/230019956#pr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f6waujbxjhu6ul3ydfee" Type="http://schemas.openxmlformats.org/officeDocument/2006/relationships/hyperlink" Target="https://dalil.kg/document/230019956" TargetMode="External"/><Relationship Id="rIdbkq0h47t8l2tqk6zddym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2026-09-25T00:44:13.839Z</dcterms:created>
  <dcterms:modified xsi:type="dcterms:W3CDTF">2026-09-25T00:44:13.839Z</dcterms:modified>
</cp:coreProperties>
</file>

<file path=docProps/custom.xml><?xml version="1.0" encoding="utf-8"?>
<Properties xmlns="http://schemas.openxmlformats.org/officeDocument/2006/custom-properties" xmlns:vt="http://schemas.openxmlformats.org/officeDocument/2006/docPropsVTypes"/>
</file>