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frapemp0hsiy3xopcr6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8"/>
          <w:szCs w:val="28"/>
        </w:rPr>
        <w:t xml:space="preserve"> от 11 октября 2021 года № 209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государственного регулирования цен на уголь на территории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В целях сдерживания темпов роста цен на уголь, своевременного стабильного обеспечения углем населения в период прохождения осенне-зимнего периода 2021/2022 года и с учетом режима чрезвычайной ситуации в республике, в соответствии со </w:t>
      </w:r>
      <w:r>
        <w:rPr>
          <w:rFonts w:ascii="Arial" w:cs="Arial" w:eastAsia="Arial" w:hAnsi="Arial"/>
          <w:sz w:val="28"/>
          <w:szCs w:val="28"/>
        </w:rPr>
        <w:t xml:space="preserve">статьей 11</w:t>
      </w:r>
      <w:r>
        <w:rPr>
          <w:rFonts w:ascii="Arial" w:cs="Arial" w:eastAsia="Arial" w:hAnsi="Arial"/>
          <w:sz w:val="28"/>
          <w:szCs w:val="28"/>
        </w:rPr>
        <w:t xml:space="preserve"> Закона Кыргызской Республики "О внутренней торговле в Кыргызской Республике", статьями </w:t>
      </w:r>
      <w:r>
        <w:rPr>
          <w:rFonts w:ascii="Arial" w:cs="Arial" w:eastAsia="Arial" w:hAnsi="Arial"/>
          <w:sz w:val="28"/>
          <w:szCs w:val="28"/>
        </w:rPr>
        <w:t xml:space="preserve">10</w:t>
      </w:r>
      <w:r>
        <w:rPr>
          <w:rFonts w:ascii="Arial" w:cs="Arial" w:eastAsia="Arial" w:hAnsi="Arial"/>
          <w:sz w:val="28"/>
          <w:szCs w:val="28"/>
        </w:rPr>
        <w:t xml:space="preserve"> и </w:t>
      </w:r>
      <w:r>
        <w:rPr>
          <w:rFonts w:ascii="Arial" w:cs="Arial" w:eastAsia="Arial" w:hAnsi="Arial"/>
          <w:sz w:val="28"/>
          <w:szCs w:val="28"/>
        </w:rPr>
        <w:t xml:space="preserve">17</w:t>
      </w:r>
      <w:r>
        <w:rPr>
          <w:rFonts w:ascii="Arial" w:cs="Arial" w:eastAsia="Arial" w:hAnsi="Arial"/>
          <w:sz w:val="28"/>
          <w:szCs w:val="28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1. Ввести временное государственное регулирование цен на уголь на территории Кыргызской Республики сроком на 90 календарных дней с установлением максимальной цены.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2. Государственному агентству антимонопольного регулирования при Министерстве экономики и финансов Кыргызской Республики принять меры по государственному регулированию и контролю в соответствии с </w:t>
      </w:r>
      <w:r>
        <w:rPr>
          <w:rFonts w:ascii="Arial" w:cs="Arial" w:eastAsia="Arial" w:hAnsi="Arial"/>
          <w:sz w:val="28"/>
          <w:szCs w:val="28"/>
        </w:rPr>
        <w:t xml:space="preserve">Порядком</w:t>
      </w:r>
      <w:r>
        <w:rPr>
          <w:rFonts w:ascii="Arial" w:cs="Arial" w:eastAsia="Arial" w:hAnsi="Arial"/>
          <w:sz w:val="28"/>
          <w:szCs w:val="28"/>
        </w:rPr>
        <w:t xml:space="preserve"> государственного регулирования цен на социально значимые товары, утвержденным </w:t>
      </w:r>
      <w:hyperlink w:history="1" r:id="rId9kzlc2pqrb5fcztdu_fr8">
        <w:r>
          <w:rPr>
            <w:rFonts w:ascii="Arial" w:cs="Arial" w:eastAsia="Arial" w:hAnsi="Arial"/>
            <w:color w:val="1D4ED8"/>
            <w:sz w:val="28"/>
            <w:szCs w:val="28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8"/>
          <w:szCs w:val="28"/>
        </w:rPr>
        <w:t xml:space="preserve">Правительства Кыргызской Республики от 22 апреля 2009 года № 242.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3. Контроль за исполнением настоящего постановления возложить на отдел промышленности, топливно-энергетического комплекса и недропользования, отдел экономики и финансов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У.Марипов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q1kzhij5ovfveukewa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dalil.kg/document/230020010</w:t>
      </w:r>
    </w:hyperlink>
  </w:p>
  <w:p>
    <w:pPr>
      <w:spacing w:after="0" w:before="40"/>
      <w:jc w:val="center"/>
    </w:pPr>
    <w:hyperlink w:history="1" r:id="rIdgbvsxlcehzmwtkp4e2n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rapemp0hsiy3xopcr6h" Type="http://schemas.openxmlformats.org/officeDocument/2006/relationships/hyperlink" Target="https://dalil.kg/document/230000286" TargetMode="External"/><Relationship Id="rId9kzlc2pqrb5fcztdu_fr8" Type="http://schemas.openxmlformats.org/officeDocument/2006/relationships/hyperlink" Target="https://dalil.kg/document/596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q1kzhij5ovfveukewaof" Type="http://schemas.openxmlformats.org/officeDocument/2006/relationships/hyperlink" Target="https://dalil.kg/document/230020010" TargetMode="External"/><Relationship Id="rIdgbvsxlcehzmwtkp4e2n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2026-09-25T14:54:17.815Z</dcterms:created>
  <dcterms:modified xsi:type="dcterms:W3CDTF">2026-09-25T14:54:17.815Z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