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внутренних процедурах оценки достаточности (адекватности) капитала</w:t>
      </w:r>
    </w:p>
    <w:p>
      <w:pPr>
        <w:spacing w:after="240" w:before="200"/>
        <w:jc w:val="center"/>
      </w:pPr>
      <w:r>
        <w:rPr>
          <w:rFonts w:ascii="Arial" w:cs="Arial" w:eastAsia="Arial" w:hAnsi="Arial"/>
          <w:b/>
          <w:bCs/>
          <w:sz w:val="32"/>
          <w:szCs w:val="32"/>
        </w:rPr>
        <w:t xml:space="preserve">коммерческих банков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Положение определяет основания, порядок и процедуры разработки внутренних процедур оценки достаточности (адекватности) капитала коммерческими банками Кыргызской Республики (далее - банки).</w:t>
      </w:r>
    </w:p>
    <w:p>
      <w:pPr>
        <w:spacing w:after="120"/>
        <w:ind w:firstLine="397"/>
        <w:jc w:val="both"/>
      </w:pPr>
      <w:r>
        <w:rPr>
          <w:rFonts w:ascii="Arial" w:cs="Arial" w:eastAsia="Arial" w:hAnsi="Arial"/>
          <w:sz w:val="24"/>
          <w:szCs w:val="24"/>
        </w:rPr>
        <w:t xml:space="preserve">Действие настоящего Положения распространяется на банки, в том числе банки, осуществляющие операции в соответствии с исламскими принципами банковского дела и финансирования, включая банки, имеющие «исламское окно», с учетом специальной терминологии, применяемой ими при осуществлении банковских операций. </w:t>
      </w:r>
    </w:p>
    <w:p>
      <w:pPr>
        <w:spacing w:after="120"/>
        <w:ind w:firstLine="397"/>
        <w:jc w:val="both"/>
      </w:pPr>
      <w:r>
        <w:rPr>
          <w:rFonts w:ascii="Arial" w:cs="Arial" w:eastAsia="Arial" w:hAnsi="Arial"/>
          <w:sz w:val="24"/>
          <w:szCs w:val="24"/>
        </w:rPr>
        <w:t xml:space="preserve">2. Внутренние процедуры оценки достаточности (адекватности) капитала (далее - ВПОДК) позволят банкам внедрить надежные, эффективные и комплексные стратегии и процессы для оценки и поддержания на постоянной основе сумм, видов и распределения капитала, который является достаточным для покрытия уровня рисков, которым банки подвержены или могут подвергаться. Данные стратегии и процессы подлежат регулярной внутренней оценке на предмет обеспечения их полноты и пропорциональности характеру, объему и сложности деятельности банка.</w:t>
      </w:r>
    </w:p>
    <w:p>
      <w:pPr>
        <w:spacing w:after="120"/>
        <w:ind w:firstLine="397"/>
        <w:jc w:val="both"/>
      </w:pPr>
      <w:r>
        <w:rPr>
          <w:rFonts w:ascii="Arial" w:cs="Arial" w:eastAsia="Arial" w:hAnsi="Arial"/>
          <w:sz w:val="24"/>
          <w:szCs w:val="24"/>
        </w:rPr>
        <w:t xml:space="preserve">3. В настоящем Положении приводится описание основных аспектов, которые банки должны учитывать при разработке надежного, эффективного и всеобъемлющего процесса ВПОДК, а также его содержания, которое Национальный банк Кыргызской Республики (далее - Национальный банк) будет оценивать в рамках ежегодного процесса надзорной оценки ВПОДК каждого банка.</w:t>
      </w:r>
    </w:p>
    <w:p>
      <w:pPr>
        <w:spacing w:after="120"/>
        <w:ind w:firstLine="397"/>
        <w:jc w:val="both"/>
      </w:pPr>
      <w:r>
        <w:rPr>
          <w:rFonts w:ascii="Arial" w:cs="Arial" w:eastAsia="Arial" w:hAnsi="Arial"/>
          <w:sz w:val="24"/>
          <w:szCs w:val="24"/>
        </w:rPr>
        <w:t xml:space="preserve">4. В дополнение к нормам настоящего Положения банкам также рекомендуется учитывать другие относящиеся к ВПОДК публикации таких международных институтов, как Базельский комитет по банковскому надзору.</w:t>
      </w:r>
    </w:p>
    <w:p>
      <w:pPr>
        <w:spacing w:after="120"/>
        <w:ind w:firstLine="397"/>
        <w:jc w:val="both"/>
      </w:pPr>
      <w:r>
        <w:rPr>
          <w:rFonts w:ascii="Arial" w:cs="Arial" w:eastAsia="Arial" w:hAnsi="Arial"/>
          <w:sz w:val="24"/>
          <w:szCs w:val="24"/>
        </w:rPr>
        <w:t xml:space="preserve">Кроме того, банки должны учитывать все адресованные им рекомендации, связанные с ВПОДК, например, рекомендации, вытекающие из процесса надзорной оценки Национального банка, а также рекомендации, касающиеся надлежащего управления рисками и контроля.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Используемые термины и определения</w:t>
      </w:r>
    </w:p>
    <w:p>
      <w:pPr>
        <w:spacing w:after="120"/>
        <w:ind w:firstLine="397"/>
        <w:jc w:val="both"/>
      </w:pPr>
      <w:r>
        <w:rPr>
          <w:rFonts w:ascii="Arial" w:cs="Arial" w:eastAsia="Arial" w:hAnsi="Arial"/>
          <w:sz w:val="24"/>
          <w:szCs w:val="24"/>
        </w:rPr>
        <w:t xml:space="preserve">5. В настоящем Положении используются определения, предусмотренные в следующих нормативных правовых актах Кыргызской Республики:</w:t>
      </w:r>
    </w:p>
    <w:p>
      <w:pPr>
        <w:spacing w:after="120"/>
        <w:ind w:firstLine="397"/>
        <w:jc w:val="both"/>
      </w:pPr>
      <w:r>
        <w:rPr>
          <w:rFonts w:ascii="Arial" w:cs="Arial" w:eastAsia="Arial" w:hAnsi="Arial"/>
          <w:sz w:val="24"/>
          <w:szCs w:val="24"/>
        </w:rPr>
        <w:t xml:space="preserve">1) </w:t>
      </w:r>
      <w:hyperlink w:history="1" r:id="rIdzo93bi-b10dessvzgzyx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от 11 августа 2022 года № 93 (далее - Закон о банках);</w:t>
      </w:r>
    </w:p>
    <w:p>
      <w:pPr>
        <w:spacing w:after="120"/>
        <w:ind w:firstLine="397"/>
        <w:jc w:val="both"/>
      </w:pPr>
      <w:r>
        <w:rPr>
          <w:rFonts w:ascii="Arial" w:cs="Arial" w:eastAsia="Arial" w:hAnsi="Arial"/>
          <w:sz w:val="24"/>
          <w:szCs w:val="24"/>
        </w:rPr>
        <w:t xml:space="preserve">2) Инструкция по определению стандартов достаточности (адекватности) капитала коммерческих банков Кыргызской Республики, утвержденная постановлением Правления Национального банка от 12 октября 2022 года № 2022-П-12/63-1-(НПА) (далее - Инструкция по достаточности капитала);</w:t>
      </w:r>
    </w:p>
    <w:p>
      <w:pPr>
        <w:spacing w:after="120"/>
        <w:ind w:firstLine="397"/>
        <w:jc w:val="both"/>
      </w:pPr>
      <w:r>
        <w:rPr>
          <w:rFonts w:ascii="Arial" w:cs="Arial" w:eastAsia="Arial" w:hAnsi="Arial"/>
          <w:sz w:val="24"/>
          <w:szCs w:val="24"/>
        </w:rPr>
        <w:t xml:space="preserve">3) Положение «О минимальных требованиях по управлению рисками в банках Кыргызской Республики», утвержденное постановлением Правления Национального банка от 15 июня 2017 года № 2017-П-12/25-8-(НПА) (далее - Положение по управлению рисками).</w:t>
      </w:r>
    </w:p>
    <w:p>
      <w:pPr>
        <w:spacing w:after="120"/>
        <w:ind w:firstLine="397"/>
        <w:jc w:val="both"/>
      </w:pPr>
      <w:r>
        <w:rPr>
          <w:rFonts w:ascii="Arial" w:cs="Arial" w:eastAsia="Arial" w:hAnsi="Arial"/>
          <w:sz w:val="24"/>
          <w:szCs w:val="24"/>
        </w:rPr>
        <w:t xml:space="preserve">6. Для целей настоящего Положения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Дополнительный капитал -</w:t>
      </w:r>
      <w:r>
        <w:rPr>
          <w:rFonts w:ascii="Arial" w:cs="Arial" w:eastAsia="Arial" w:hAnsi="Arial"/>
          <w:sz w:val="24"/>
          <w:szCs w:val="24"/>
        </w:rPr>
        <w:t xml:space="preserve"> дополнительный капитал Первого уровня, указанный в пункте 17 Инструкции по достаточности капитала;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понимается в том значении, которое указано в Положении по управлению рисками;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Базовый капитал -</w:t>
      </w:r>
      <w:r>
        <w:rPr>
          <w:rFonts w:ascii="Arial" w:cs="Arial" w:eastAsia="Arial" w:hAnsi="Arial"/>
          <w:sz w:val="24"/>
          <w:szCs w:val="24"/>
        </w:rPr>
        <w:t xml:space="preserve"> Базовый капитал Первого уровня, предусмотренный в пункте 16 Инструкции по достаточности капитала;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Бизнес-планы -</w:t>
      </w:r>
      <w:r>
        <w:rPr>
          <w:rFonts w:ascii="Arial" w:cs="Arial" w:eastAsia="Arial" w:hAnsi="Arial"/>
          <w:sz w:val="24"/>
          <w:szCs w:val="24"/>
        </w:rPr>
        <w:t xml:space="preserve"> планы, которые касаются стратегии банка и сферы его деятельности в соответствии со </w:t>
      </w:r>
      <w:hyperlink w:history="1" r:id="rIdgtjaqlrtcilie_-v4oiyb">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Распределение капитала -</w:t>
      </w:r>
      <w:r>
        <w:rPr>
          <w:rFonts w:ascii="Arial" w:cs="Arial" w:eastAsia="Arial" w:hAnsi="Arial"/>
          <w:sz w:val="24"/>
          <w:szCs w:val="24"/>
        </w:rPr>
        <w:t xml:space="preserve"> процесс выделения определенной суммы капитала на определенный вид риска (например, кредитный, операционный и др.) с учетом уровня конкретного риска, с которым сталкивается банк.</w:t>
      </w:r>
    </w:p>
    <w:p>
      <w:pPr>
        <w:spacing w:after="120"/>
        <w:ind w:firstLine="397"/>
        <w:jc w:val="both"/>
      </w:pPr>
      <w:r>
        <w:rPr>
          <w:rFonts w:ascii="Arial" w:cs="Arial" w:eastAsia="Arial" w:hAnsi="Arial"/>
          <w:sz w:val="24"/>
          <w:szCs w:val="24"/>
        </w:rPr>
        <w:t xml:space="preserve">Распределение капитала включает риски, указанные в Инструкции по достаточности капитала (кредитный риск и операционный риск), и другие риски, не предусмотренные Инструкцией по достаточности капитала (рыночный риск, риск кредитной концентрации и другие риски);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Капитал Первого уровня или собственный капитал -</w:t>
      </w:r>
      <w:r>
        <w:rPr>
          <w:rFonts w:ascii="Arial" w:cs="Arial" w:eastAsia="Arial" w:hAnsi="Arial"/>
          <w:sz w:val="24"/>
          <w:szCs w:val="24"/>
        </w:rPr>
        <w:t xml:space="preserve"> капитал Первого уровня, указанный в пункте 15 Инструкции по достаточности капитала;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Планирование капитала -</w:t>
      </w:r>
      <w:r>
        <w:rPr>
          <w:rFonts w:ascii="Arial" w:cs="Arial" w:eastAsia="Arial" w:hAnsi="Arial"/>
          <w:sz w:val="24"/>
          <w:szCs w:val="24"/>
        </w:rPr>
        <w:t xml:space="preserve"> прогнозирование коэффициентов достаточности (адекватности) капитала банка на определенный период (как правило, на 3 года) путем перспективной оценки капитала банка и требований к капиталу, позволяющее обеспечить его полное соответствие бизнес-плану банка;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Целевые показатели по капиталу -</w:t>
      </w:r>
      <w:r>
        <w:rPr>
          <w:rFonts w:ascii="Arial" w:cs="Arial" w:eastAsia="Arial" w:hAnsi="Arial"/>
          <w:sz w:val="24"/>
          <w:szCs w:val="24"/>
        </w:rPr>
        <w:t xml:space="preserve"> различные лимиты (такие, как цель, индикатор раннего предупреждения или лимит), установленные банком в рамках его внутреннего документа об уровне риск-аппетита по индикаторам, связанным с его достаточностью капитала (коэффициенты достаточности (адекватности) Базового капитала, достаточности (адекватности) суммарного капитала и др.);</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Основные направления деятельности -</w:t>
      </w:r>
      <w:r>
        <w:rPr>
          <w:rFonts w:ascii="Arial" w:cs="Arial" w:eastAsia="Arial" w:hAnsi="Arial"/>
          <w:sz w:val="24"/>
          <w:szCs w:val="24"/>
        </w:rPr>
        <w:t xml:space="preserve"> направления деятельности, которые представляют собой существенные источники дохода банка, прибыли или стоимости франшизы, обычно связанные с сегментами, используемыми банком для информирования рынка, инвесторов и др.;</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Внутренние модели капитала -</w:t>
      </w:r>
      <w:r>
        <w:rPr>
          <w:rFonts w:ascii="Arial" w:cs="Arial" w:eastAsia="Arial" w:hAnsi="Arial"/>
          <w:sz w:val="24"/>
          <w:szCs w:val="24"/>
        </w:rPr>
        <w:t xml:space="preserve"> методологии, разработанные внутри банка и используемые для количественной оценки рисков, в отношении которых установлены требования в соответствии с Инструкцией по достаточности капитала, и других рисков, не предусмотренных Инструкцией по достаточности капитала;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Присущий риск -</w:t>
      </w:r>
      <w:r>
        <w:rPr>
          <w:rFonts w:ascii="Arial" w:cs="Arial" w:eastAsia="Arial" w:hAnsi="Arial"/>
          <w:sz w:val="24"/>
          <w:szCs w:val="24"/>
        </w:rPr>
        <w:t xml:space="preserve"> уровень риска, свойственного деятельности, продуктам или услугам банка, т.е. вероятность того, что банк понесет значительные убытки из-за подверженности риску и неопределенности, возникающей в связи с текущими и будущими событиями. В этом контексте к термину «значительные убытки» относится сумма убытков, превышающая 5% стоимости капитала Первого уровня банков;</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Внутренние требования к капиталу -</w:t>
      </w:r>
      <w:r>
        <w:rPr>
          <w:rFonts w:ascii="Arial" w:cs="Arial" w:eastAsia="Arial" w:hAnsi="Arial"/>
          <w:sz w:val="24"/>
          <w:szCs w:val="24"/>
        </w:rPr>
        <w:t xml:space="preserve"> внутренне рассчитанные лимиты банка в капитале для покрытия рисков, к которым предусмотрены требования в Инструкции по достаточности капитала (кредитный риск и операционный риск), и рисков, к которым Инструкцией по достаточности капитала требования не предусмотрены (например, риск кредитной концентрации, рыночный риск и т.д.);</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Дополнительный буферный резерв -</w:t>
      </w:r>
      <w:r>
        <w:rPr>
          <w:rFonts w:ascii="Arial" w:cs="Arial" w:eastAsia="Arial" w:hAnsi="Arial"/>
          <w:sz w:val="24"/>
          <w:szCs w:val="24"/>
        </w:rPr>
        <w:t xml:space="preserve"> это сумма капитала, которую банк готов удерживать сверх минимальных требований к капиталу и индекса «буфер капитала». Сумма «дополнительного буферного резерва» должна определяться банком с учетом таких факторов как: (а) профиль риска; (б) риск аппетит; (в) минимальные требования к капиталу; (г) политика выплаты дивидендов банка и др.;</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Существенные риски -</w:t>
      </w:r>
      <w:r>
        <w:rPr>
          <w:rFonts w:ascii="Arial" w:cs="Arial" w:eastAsia="Arial" w:hAnsi="Arial"/>
          <w:sz w:val="24"/>
          <w:szCs w:val="24"/>
        </w:rPr>
        <w:t xml:space="preserve"> риски, подверженность банка которым достаточно серьезна, чтобы потенциально вызвать существенные убытки, которые могут уменьшить капитал банка. Для целей установления существенности банки должны считать риск существенным, если их подверженность такому риску равна или превышает 5% от стоимости капитала Первого уровня банка;</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Минимальные требования к капиталу -</w:t>
      </w:r>
      <w:r>
        <w:rPr>
          <w:rFonts w:ascii="Arial" w:cs="Arial" w:eastAsia="Arial" w:hAnsi="Arial"/>
          <w:sz w:val="24"/>
          <w:szCs w:val="24"/>
        </w:rPr>
        <w:t xml:space="preserve"> минимальный размер собственного капитала и нормативы достаточности (адекватности) капитала, которые банк должен соблюдать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Принцип пропорциональности</w:t>
      </w:r>
      <w:r>
        <w:rPr>
          <w:rFonts w:ascii="Arial" w:cs="Arial" w:eastAsia="Arial" w:hAnsi="Arial"/>
          <w:sz w:val="24"/>
          <w:szCs w:val="24"/>
        </w:rPr>
        <w:t xml:space="preserve"> относится к основным принципам, которыми можно руководствоваться при реализации настоящего Положения, включая системную значимость банка, сложность его деятельности, бизнес-модель и размер;</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Риск-аппетит</w:t>
      </w:r>
      <w:r>
        <w:rPr>
          <w:rFonts w:ascii="Arial" w:cs="Arial" w:eastAsia="Arial" w:hAnsi="Arial"/>
          <w:sz w:val="24"/>
          <w:szCs w:val="24"/>
        </w:rPr>
        <w:t xml:space="preserve"> понимается в значении, определенном в Положении по управлению рисками;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Оценка рисков -</w:t>
      </w:r>
      <w:r>
        <w:rPr>
          <w:rFonts w:ascii="Arial" w:cs="Arial" w:eastAsia="Arial" w:hAnsi="Arial"/>
          <w:sz w:val="24"/>
          <w:szCs w:val="24"/>
        </w:rPr>
        <w:t xml:space="preserve"> процесс, в соответствии с которым банк измеряет присущий риск всех своих существенных рисков и индивидуально классифицирует каждый из этих рисков на основе уровня риска, которому он подвержен, а также адекватности соответствующих систем управления рисками и контроля над ними;</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Факторы риска -</w:t>
      </w:r>
      <w:r>
        <w:rPr>
          <w:rFonts w:ascii="Arial" w:cs="Arial" w:eastAsia="Arial" w:hAnsi="Arial"/>
          <w:sz w:val="24"/>
          <w:szCs w:val="24"/>
        </w:rPr>
        <w:t xml:space="preserve"> факторы, которые могут повлиять на существенность рисков, которым подвергается или может подвергнуться банк. Факторы риска могут быть количественными или качественными;</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Степень риска -</w:t>
      </w:r>
      <w:r>
        <w:rPr>
          <w:rFonts w:ascii="Arial" w:cs="Arial" w:eastAsia="Arial" w:hAnsi="Arial"/>
          <w:sz w:val="24"/>
          <w:szCs w:val="24"/>
        </w:rPr>
        <w:t xml:space="preserve"> результат оценки по четырехбалльной шкале, проведенной банком в отношении его рисков на основе совокупности подверженности банка его существенным рискам и адекватности соответствующих систем управления рисками и контроля над ними;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Идентификация рисков -</w:t>
      </w:r>
      <w:r>
        <w:rPr>
          <w:rFonts w:ascii="Arial" w:cs="Arial" w:eastAsia="Arial" w:hAnsi="Arial"/>
          <w:sz w:val="24"/>
          <w:szCs w:val="24"/>
        </w:rPr>
        <w:t xml:space="preserve"> регулярный процесс, в ходе которого банк выявляет все существенные риски, с которыми он сталкивается при осуществлении своей деятельности;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Лимиты по рискам</w:t>
      </w:r>
      <w:r>
        <w:rPr>
          <w:rFonts w:ascii="Arial" w:cs="Arial" w:eastAsia="Arial" w:hAnsi="Arial"/>
          <w:sz w:val="24"/>
          <w:szCs w:val="24"/>
        </w:rPr>
        <w:t xml:space="preserve"> понимаются в значении, определенном в Положении по управлению рисками;</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Чистый риск -</w:t>
      </w:r>
      <w:r>
        <w:rPr>
          <w:rFonts w:ascii="Arial" w:cs="Arial" w:eastAsia="Arial" w:hAnsi="Arial"/>
          <w:sz w:val="24"/>
          <w:szCs w:val="24"/>
        </w:rPr>
        <w:t xml:space="preserve"> комплексная оценка банка его существенных рисков с учетом уровня присущего риска и качества управления и контроля рисков (КУК);</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Капитал Второго уровня -</w:t>
      </w:r>
      <w:r>
        <w:rPr>
          <w:rFonts w:ascii="Arial" w:cs="Arial" w:eastAsia="Arial" w:hAnsi="Arial"/>
          <w:sz w:val="24"/>
          <w:szCs w:val="24"/>
        </w:rPr>
        <w:t xml:space="preserve"> капитал Второго уровня, предусмотренный в пункте 19 Инструкции по достаточности капитала;</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Чистый суммарный капитал -</w:t>
      </w:r>
      <w:r>
        <w:rPr>
          <w:rFonts w:ascii="Arial" w:cs="Arial" w:eastAsia="Arial" w:hAnsi="Arial"/>
          <w:sz w:val="24"/>
          <w:szCs w:val="24"/>
        </w:rPr>
        <w:t xml:space="preserve"> сумма капитала Первого уровня и капитала Второго уровня в соответствии с подпунктом (а) пункта 6 Инструкции по достаточности капитала;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Риск процентной ставки в банковском портфеле -</w:t>
      </w:r>
      <w:r>
        <w:rPr>
          <w:rFonts w:ascii="Arial" w:cs="Arial" w:eastAsia="Arial" w:hAnsi="Arial"/>
          <w:sz w:val="24"/>
          <w:szCs w:val="24"/>
        </w:rPr>
        <w:t xml:space="preserve"> риск, возникающий в связи с проведением банковских операций с банковским портфелем;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ЧРА -</w:t>
      </w:r>
      <w:r>
        <w:rPr>
          <w:rFonts w:ascii="Arial" w:cs="Arial" w:eastAsia="Arial" w:hAnsi="Arial"/>
          <w:sz w:val="24"/>
          <w:szCs w:val="24"/>
        </w:rPr>
        <w:t xml:space="preserve">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Требования по ВПОДК</w:t>
      </w:r>
    </w:p>
    <w:p>
      <w:pPr>
        <w:spacing w:after="120"/>
        <w:ind w:firstLine="397"/>
        <w:jc w:val="both"/>
      </w:pPr>
      <w:r>
        <w:rPr>
          <w:rFonts w:ascii="Arial" w:cs="Arial" w:eastAsia="Arial" w:hAnsi="Arial"/>
          <w:sz w:val="24"/>
          <w:szCs w:val="24"/>
        </w:rPr>
        <w:t xml:space="preserve">7. Банки должны ежегодно разрабатывать надежный, эффективный и комплексный отчет по ВПОДК в соответствии со следующими критериями:</w:t>
      </w:r>
    </w:p>
    <w:p>
      <w:pPr>
        <w:spacing w:after="120"/>
        <w:ind w:firstLine="397"/>
        <w:jc w:val="both"/>
      </w:pPr>
      <w:r>
        <w:rPr>
          <w:rFonts w:ascii="Arial" w:cs="Arial" w:eastAsia="Arial" w:hAnsi="Arial"/>
          <w:sz w:val="24"/>
          <w:szCs w:val="24"/>
        </w:rPr>
        <w:t xml:space="preserve">1) отчет должен ежегодно обновляться банками и предоставляться в Национальный банк до 31 мая;</w:t>
      </w:r>
    </w:p>
    <w:p>
      <w:pPr>
        <w:spacing w:after="120"/>
        <w:ind w:firstLine="397"/>
        <w:jc w:val="both"/>
      </w:pPr>
      <w:r>
        <w:rPr>
          <w:rFonts w:ascii="Arial" w:cs="Arial" w:eastAsia="Arial" w:hAnsi="Arial"/>
          <w:sz w:val="24"/>
          <w:szCs w:val="24"/>
        </w:rPr>
        <w:t xml:space="preserve">2) отчет должен относиться к данным по состоянию на 31 декабря предыдущего года;</w:t>
      </w:r>
    </w:p>
    <w:p>
      <w:pPr>
        <w:spacing w:after="120"/>
        <w:ind w:firstLine="397"/>
        <w:jc w:val="both"/>
      </w:pPr>
      <w:r>
        <w:rPr>
          <w:rFonts w:ascii="Arial" w:cs="Arial" w:eastAsia="Arial" w:hAnsi="Arial"/>
          <w:sz w:val="24"/>
          <w:szCs w:val="24"/>
        </w:rPr>
        <w:t xml:space="preserve">3) отчет должен содержать информацию, требуемую в параграфе 1 </w:t>
      </w:r>
      <w:r>
        <w:rPr>
          <w:rFonts w:ascii="Arial" w:cs="Arial" w:eastAsia="Arial" w:hAnsi="Arial"/>
          <w:sz w:val="24"/>
          <w:szCs w:val="24"/>
        </w:rPr>
        <w:t xml:space="preserve">главы 4</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4) отчет должен оцениваться и утверждаться советом директоров банка до его представления в Национальный банк.</w:t>
      </w:r>
    </w:p>
    <w:p>
      <w:pPr>
        <w:spacing w:after="120"/>
        <w:ind w:firstLine="397"/>
        <w:jc w:val="both"/>
      </w:pPr>
      <w:r>
        <w:rPr>
          <w:rFonts w:ascii="Arial" w:cs="Arial" w:eastAsia="Arial" w:hAnsi="Arial"/>
          <w:sz w:val="24"/>
          <w:szCs w:val="24"/>
        </w:rPr>
        <w:t xml:space="preserve">8. Банк самостоятельно отвечает за внедрение ВПОДК в своей деятельности, которые бы соответствовали конкретным обстоятельствам (т.е. бизнес-модель банка, существенные риски, требования к капиталу, потенциальные уязвимости банка при определении сценариев стресс-тестирования и т.д.) банка.</w:t>
      </w:r>
    </w:p>
    <w:p>
      <w:pPr>
        <w:spacing w:after="120"/>
        <w:ind w:firstLine="397"/>
        <w:jc w:val="both"/>
      </w:pPr>
      <w:r>
        <w:rPr>
          <w:rFonts w:ascii="Arial" w:cs="Arial" w:eastAsia="Arial" w:hAnsi="Arial"/>
          <w:sz w:val="24"/>
          <w:szCs w:val="24"/>
        </w:rPr>
        <w:t xml:space="preserve">При проведении оценки ВПОДК Национальный банк будет учитывать индивидуальные обстоятельства каждого банка.</w:t>
      </w:r>
    </w:p>
    <w:p>
      <w:pPr>
        <w:spacing w:after="120"/>
        <w:ind w:firstLine="397"/>
        <w:jc w:val="both"/>
      </w:pPr>
      <w:r>
        <w:rPr>
          <w:rFonts w:ascii="Arial" w:cs="Arial" w:eastAsia="Arial" w:hAnsi="Arial"/>
          <w:sz w:val="24"/>
          <w:szCs w:val="24"/>
        </w:rPr>
        <w:t xml:space="preserve">9. Банк должен обеспечить, чтобы его ВПОДК оставались всеобъемлющими, охватывающими все существенные риски, которым подвержен банк, и соответствовали характеру, масштабу и сложности его деятельности.</w:t>
      </w:r>
    </w:p>
    <w:p>
      <w:pPr>
        <w:spacing w:after="120"/>
        <w:ind w:firstLine="397"/>
        <w:jc w:val="both"/>
      </w:pPr>
      <w:r>
        <w:rPr>
          <w:rFonts w:ascii="Arial" w:cs="Arial" w:eastAsia="Arial" w:hAnsi="Arial"/>
          <w:sz w:val="24"/>
          <w:szCs w:val="24"/>
        </w:rPr>
        <w:t xml:space="preserve">10. Служба внутреннего аудита банка должна включить рассмотрение отчета по ВПОДК в свой годовой план аудита. Такое рассмотрение должно проводиться перед его утверждением советом директоров банка.</w:t>
      </w:r>
    </w:p>
    <w:p>
      <w:pPr>
        <w:spacing w:after="120"/>
        <w:ind w:firstLine="397"/>
        <w:jc w:val="both"/>
      </w:pPr>
      <w:r>
        <w:rPr>
          <w:rFonts w:ascii="Arial" w:cs="Arial" w:eastAsia="Arial" w:hAnsi="Arial"/>
          <w:sz w:val="24"/>
          <w:szCs w:val="24"/>
        </w:rPr>
        <w:t xml:space="preserve">11. Национальный банк оценивает представленный банком отчет по ВПОДК как неотъемлемую часть риск-ориентированного надзора за банками.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Требования к отчету по внутренним процедурам</w:t>
      </w:r>
    </w:p>
    <w:p>
      <w:pPr>
        <w:spacing w:after="240" w:before="200"/>
        <w:jc w:val="center"/>
      </w:pPr>
      <w:r>
        <w:rPr>
          <w:rFonts w:ascii="Arial" w:cs="Arial" w:eastAsia="Arial" w:hAnsi="Arial"/>
          <w:b/>
          <w:bCs/>
          <w:sz w:val="32"/>
          <w:szCs w:val="32"/>
        </w:rPr>
        <w:t xml:space="preserve">оценки достаточности (адекватности) капитала</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 Содержание отчета по ВПОДК</w:t>
      </w:r>
    </w:p>
    <w:p>
      <w:pPr>
        <w:spacing w:after="120"/>
        <w:ind w:firstLine="397"/>
        <w:jc w:val="both"/>
      </w:pPr>
      <w:r>
        <w:rPr>
          <w:rFonts w:ascii="Arial" w:cs="Arial" w:eastAsia="Arial" w:hAnsi="Arial"/>
          <w:sz w:val="24"/>
          <w:szCs w:val="24"/>
        </w:rPr>
        <w:t xml:space="preserve">12. Отчет по ВПОДК, который банки должны готовить в соответствии пунктом 11 настоящего Положения, должен включать как минимум следующие главы:</w:t>
      </w:r>
    </w:p>
    <w:p>
      <w:pPr>
        <w:spacing w:after="120"/>
        <w:ind w:firstLine="397"/>
        <w:jc w:val="both"/>
      </w:pPr>
      <w:r>
        <w:rPr>
          <w:rFonts w:ascii="Arial" w:cs="Arial" w:eastAsia="Arial" w:hAnsi="Arial"/>
          <w:sz w:val="24"/>
          <w:szCs w:val="24"/>
        </w:rPr>
        <w:t xml:space="preserve">1) Резюме для руководства;</w:t>
      </w:r>
    </w:p>
    <w:p>
      <w:pPr>
        <w:spacing w:after="120"/>
        <w:ind w:firstLine="397"/>
        <w:jc w:val="both"/>
      </w:pPr>
      <w:r>
        <w:rPr>
          <w:rFonts w:ascii="Arial" w:cs="Arial" w:eastAsia="Arial" w:hAnsi="Arial"/>
          <w:sz w:val="24"/>
          <w:szCs w:val="24"/>
        </w:rPr>
        <w:t xml:space="preserve">2) Общая информация;</w:t>
      </w:r>
    </w:p>
    <w:p>
      <w:pPr>
        <w:spacing w:after="120"/>
        <w:ind w:firstLine="397"/>
        <w:jc w:val="both"/>
      </w:pPr>
      <w:r>
        <w:rPr>
          <w:rFonts w:ascii="Arial" w:cs="Arial" w:eastAsia="Arial" w:hAnsi="Arial"/>
          <w:sz w:val="24"/>
          <w:szCs w:val="24"/>
        </w:rPr>
        <w:t xml:space="preserve">3) Бизнес-модель и стратегия;</w:t>
      </w:r>
    </w:p>
    <w:p>
      <w:pPr>
        <w:spacing w:after="120"/>
        <w:ind w:firstLine="397"/>
        <w:jc w:val="both"/>
      </w:pPr>
      <w:r>
        <w:rPr>
          <w:rFonts w:ascii="Arial" w:cs="Arial" w:eastAsia="Arial" w:hAnsi="Arial"/>
          <w:sz w:val="24"/>
          <w:szCs w:val="24"/>
        </w:rPr>
        <w:t xml:space="preserve">4) Организация управления рисками в рамках ВПОДК;</w:t>
      </w:r>
    </w:p>
    <w:p>
      <w:pPr>
        <w:spacing w:after="120"/>
        <w:ind w:firstLine="397"/>
        <w:jc w:val="both"/>
      </w:pPr>
      <w:r>
        <w:rPr>
          <w:rFonts w:ascii="Arial" w:cs="Arial" w:eastAsia="Arial" w:hAnsi="Arial"/>
          <w:sz w:val="24"/>
          <w:szCs w:val="24"/>
        </w:rPr>
        <w:t xml:space="preserve">5) Выявление рисков;</w:t>
      </w:r>
    </w:p>
    <w:p>
      <w:pPr>
        <w:spacing w:after="120"/>
        <w:ind w:firstLine="397"/>
        <w:jc w:val="both"/>
      </w:pPr>
      <w:r>
        <w:rPr>
          <w:rFonts w:ascii="Arial" w:cs="Arial" w:eastAsia="Arial" w:hAnsi="Arial"/>
          <w:sz w:val="24"/>
          <w:szCs w:val="24"/>
        </w:rPr>
        <w:t xml:space="preserve">6) Оценка рисков;</w:t>
      </w:r>
    </w:p>
    <w:p>
      <w:pPr>
        <w:spacing w:after="120"/>
        <w:ind w:firstLine="397"/>
        <w:jc w:val="both"/>
      </w:pPr>
      <w:r>
        <w:rPr>
          <w:rFonts w:ascii="Arial" w:cs="Arial" w:eastAsia="Arial" w:hAnsi="Arial"/>
          <w:sz w:val="24"/>
          <w:szCs w:val="24"/>
        </w:rPr>
        <w:t xml:space="preserve">7) Риск-аппетит;</w:t>
      </w:r>
    </w:p>
    <w:p>
      <w:pPr>
        <w:spacing w:after="120"/>
        <w:ind w:firstLine="397"/>
        <w:jc w:val="both"/>
      </w:pPr>
      <w:r>
        <w:rPr>
          <w:rFonts w:ascii="Arial" w:cs="Arial" w:eastAsia="Arial" w:hAnsi="Arial"/>
          <w:sz w:val="24"/>
          <w:szCs w:val="24"/>
        </w:rPr>
        <w:t xml:space="preserve">8) Внутренние требования к капиталу;</w:t>
      </w:r>
    </w:p>
    <w:p>
      <w:pPr>
        <w:spacing w:after="120"/>
        <w:ind w:firstLine="397"/>
        <w:jc w:val="both"/>
      </w:pPr>
      <w:r>
        <w:rPr>
          <w:rFonts w:ascii="Arial" w:cs="Arial" w:eastAsia="Arial" w:hAnsi="Arial"/>
          <w:sz w:val="24"/>
          <w:szCs w:val="24"/>
        </w:rPr>
        <w:t xml:space="preserve">9) Планирование капитала;</w:t>
      </w:r>
    </w:p>
    <w:p>
      <w:pPr>
        <w:spacing w:after="120"/>
        <w:ind w:firstLine="397"/>
        <w:jc w:val="both"/>
      </w:pPr>
      <w:r>
        <w:rPr>
          <w:rFonts w:ascii="Arial" w:cs="Arial" w:eastAsia="Arial" w:hAnsi="Arial"/>
          <w:sz w:val="24"/>
          <w:szCs w:val="24"/>
        </w:rPr>
        <w:t xml:space="preserve">10) Стресс-тестирование;</w:t>
      </w:r>
    </w:p>
    <w:p>
      <w:pPr>
        <w:spacing w:after="120"/>
        <w:ind w:firstLine="397"/>
        <w:jc w:val="both"/>
      </w:pPr>
      <w:r>
        <w:rPr>
          <w:rFonts w:ascii="Arial" w:cs="Arial" w:eastAsia="Arial" w:hAnsi="Arial"/>
          <w:sz w:val="24"/>
          <w:szCs w:val="24"/>
        </w:rPr>
        <w:t xml:space="preserve">11) Прочие положения.</w:t>
      </w:r>
    </w:p>
    <w:p>
      <w:pPr>
        <w:spacing w:after="120"/>
        <w:ind w:firstLine="397"/>
        <w:jc w:val="both"/>
      </w:pPr>
      <w:r>
        <w:rPr>
          <w:rFonts w:ascii="Arial" w:cs="Arial" w:eastAsia="Arial" w:hAnsi="Arial"/>
          <w:sz w:val="24"/>
          <w:szCs w:val="24"/>
        </w:rPr>
        <w:t xml:space="preserve">13. При заполнении глав, перечисленных в предыдущем пункте, банки должны указывать сведения, предусмотренные пунктами 15-36 настоящего Положения.</w:t>
      </w:r>
    </w:p>
    <w:p>
      <w:pPr>
        <w:spacing w:after="120"/>
        <w:ind w:firstLine="397"/>
        <w:jc w:val="both"/>
      </w:pPr>
      <w:r>
        <w:rPr>
          <w:rFonts w:ascii="Arial" w:cs="Arial" w:eastAsia="Arial" w:hAnsi="Arial"/>
          <w:sz w:val="24"/>
          <w:szCs w:val="24"/>
        </w:rPr>
        <w:t xml:space="preserve">14. Банки должны придерживаться формы отчетности по ВПОДК, приведенной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2. Резюме для руководства</w:t>
      </w:r>
    </w:p>
    <w:p>
      <w:pPr>
        <w:spacing w:after="120"/>
        <w:ind w:firstLine="397"/>
        <w:jc w:val="both"/>
      </w:pPr>
      <w:r>
        <w:rPr>
          <w:rFonts w:ascii="Arial" w:cs="Arial" w:eastAsia="Arial" w:hAnsi="Arial"/>
          <w:sz w:val="24"/>
          <w:szCs w:val="24"/>
        </w:rPr>
        <w:t xml:space="preserve">15. Банк должен обеспечить, чтобы в резюме для руководства было дано подробное объяснение основных элементов отчета по ВПОДК в легко читаемом и понятном виде. В резюме для руководства банку необходимо указать:</w:t>
      </w:r>
    </w:p>
    <w:p>
      <w:pPr>
        <w:spacing w:after="120"/>
        <w:ind w:firstLine="397"/>
        <w:jc w:val="both"/>
      </w:pPr>
      <w:r>
        <w:rPr>
          <w:rFonts w:ascii="Arial" w:cs="Arial" w:eastAsia="Arial" w:hAnsi="Arial"/>
          <w:sz w:val="24"/>
          <w:szCs w:val="24"/>
        </w:rPr>
        <w:t xml:space="preserve">1) целевые значения по капиталу банка за следующие 12 месяцев. Банку необходимо как минимум указать свои целевые показатели по капиталу с точки зрения Базового капитала Первого уровня и чистого суммарного капитала;</w:t>
      </w:r>
    </w:p>
    <w:p>
      <w:pPr>
        <w:spacing w:after="120"/>
        <w:ind w:firstLine="397"/>
        <w:jc w:val="both"/>
      </w:pPr>
      <w:r>
        <w:rPr>
          <w:rFonts w:ascii="Arial" w:cs="Arial" w:eastAsia="Arial" w:hAnsi="Arial"/>
          <w:sz w:val="24"/>
          <w:szCs w:val="24"/>
        </w:rPr>
        <w:t xml:space="preserve">2) бизнес-модель и текущее финансовое состояние банка;</w:t>
      </w:r>
    </w:p>
    <w:p>
      <w:pPr>
        <w:spacing w:after="120"/>
        <w:ind w:firstLine="397"/>
        <w:jc w:val="both"/>
      </w:pPr>
      <w:r>
        <w:rPr>
          <w:rFonts w:ascii="Arial" w:cs="Arial" w:eastAsia="Arial" w:hAnsi="Arial"/>
          <w:sz w:val="24"/>
          <w:szCs w:val="24"/>
        </w:rPr>
        <w:t xml:space="preserve">3) организацию системы управления рисками, включая стратегический уровень и макроуровень, определенные в Положении по управлению рисками;</w:t>
      </w:r>
    </w:p>
    <w:p>
      <w:pPr>
        <w:spacing w:after="120"/>
        <w:ind w:firstLine="397"/>
        <w:jc w:val="both"/>
      </w:pPr>
      <w:r>
        <w:rPr>
          <w:rFonts w:ascii="Arial" w:cs="Arial" w:eastAsia="Arial" w:hAnsi="Arial"/>
          <w:sz w:val="24"/>
          <w:szCs w:val="24"/>
        </w:rPr>
        <w:t xml:space="preserve">4) существенные риски банка и оценку чистого риска по результатам самооценки;</w:t>
      </w:r>
    </w:p>
    <w:p>
      <w:pPr>
        <w:spacing w:after="120"/>
        <w:ind w:firstLine="397"/>
        <w:jc w:val="both"/>
      </w:pPr>
      <w:r>
        <w:rPr>
          <w:rFonts w:ascii="Arial" w:cs="Arial" w:eastAsia="Arial" w:hAnsi="Arial"/>
          <w:sz w:val="24"/>
          <w:szCs w:val="24"/>
        </w:rPr>
        <w:t xml:space="preserve">5) риск-аппетит банка, включая основные показатели банка и лимиты по рискам;</w:t>
      </w:r>
    </w:p>
    <w:p>
      <w:pPr>
        <w:spacing w:after="120"/>
        <w:ind w:firstLine="397"/>
        <w:jc w:val="both"/>
      </w:pPr>
      <w:r>
        <w:rPr>
          <w:rFonts w:ascii="Arial" w:cs="Arial" w:eastAsia="Arial" w:hAnsi="Arial"/>
          <w:sz w:val="24"/>
          <w:szCs w:val="24"/>
        </w:rPr>
        <w:t xml:space="preserve">6) внутренние требования к капиталу банка;</w:t>
      </w:r>
    </w:p>
    <w:p>
      <w:pPr>
        <w:spacing w:after="120"/>
        <w:ind w:firstLine="397"/>
        <w:jc w:val="both"/>
      </w:pPr>
      <w:r>
        <w:rPr>
          <w:rFonts w:ascii="Arial" w:cs="Arial" w:eastAsia="Arial" w:hAnsi="Arial"/>
          <w:sz w:val="24"/>
          <w:szCs w:val="24"/>
        </w:rPr>
        <w:t xml:space="preserve">7) прогнозируемые коэффициенты достаточности (адекватности) капитала при планировании капитала. Прогнозы на 31 декабря для каждого из охватываемых трех лет;</w:t>
      </w:r>
    </w:p>
    <w:p>
      <w:pPr>
        <w:spacing w:after="120"/>
        <w:ind w:firstLine="397"/>
        <w:jc w:val="both"/>
      </w:pPr>
      <w:r>
        <w:rPr>
          <w:rFonts w:ascii="Arial" w:cs="Arial" w:eastAsia="Arial" w:hAnsi="Arial"/>
          <w:sz w:val="24"/>
          <w:szCs w:val="24"/>
        </w:rPr>
        <w:t xml:space="preserve">8) результаты внутреннего стресс-тестирования банка, проведенного в рамках ВПОДК;</w:t>
      </w:r>
    </w:p>
    <w:p>
      <w:pPr>
        <w:spacing w:after="120"/>
        <w:ind w:firstLine="397"/>
        <w:jc w:val="both"/>
      </w:pPr>
      <w:r>
        <w:rPr>
          <w:rFonts w:ascii="Arial" w:cs="Arial" w:eastAsia="Arial" w:hAnsi="Arial"/>
          <w:sz w:val="24"/>
          <w:szCs w:val="24"/>
        </w:rPr>
        <w:t xml:space="preserve">9) решения по капиталу, принятые банком на основе процесса ВПОДК;</w:t>
      </w:r>
    </w:p>
    <w:p>
      <w:pPr>
        <w:spacing w:after="120"/>
        <w:ind w:firstLine="397"/>
        <w:jc w:val="both"/>
      </w:pPr>
      <w:r>
        <w:rPr>
          <w:rFonts w:ascii="Arial" w:cs="Arial" w:eastAsia="Arial" w:hAnsi="Arial"/>
          <w:sz w:val="24"/>
          <w:szCs w:val="24"/>
        </w:rPr>
        <w:t xml:space="preserve">10) краткое описание самооценки достаточности отчета по ВПОДК, включая слабые стороны и недостатки, а также план улучшения ВПОДК и сроки реализации этого плана.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3. Общая информация</w:t>
      </w:r>
    </w:p>
    <w:p>
      <w:pPr>
        <w:spacing w:after="120"/>
        <w:ind w:firstLine="397"/>
        <w:jc w:val="both"/>
      </w:pPr>
      <w:r>
        <w:rPr>
          <w:rFonts w:ascii="Arial" w:cs="Arial" w:eastAsia="Arial" w:hAnsi="Arial"/>
          <w:sz w:val="24"/>
          <w:szCs w:val="24"/>
        </w:rPr>
        <w:t xml:space="preserve">16. Банк должен представить основную и общую информацию о банке и отчет по ВПОДК, включающий следующую информацию:</w:t>
      </w:r>
    </w:p>
    <w:p>
      <w:pPr>
        <w:spacing w:after="120"/>
        <w:ind w:firstLine="397"/>
        <w:jc w:val="both"/>
      </w:pPr>
      <w:r>
        <w:rPr>
          <w:rFonts w:ascii="Arial" w:cs="Arial" w:eastAsia="Arial" w:hAnsi="Arial"/>
          <w:sz w:val="24"/>
          <w:szCs w:val="24"/>
        </w:rPr>
        <w:t xml:space="preserve">1) ФИО, организационное подразделение или отдел и должность лица или лиц, ответственных за составление отчета по ВПОДК или лица, ответственного за представление информации в Национальный банк отчета по ВПОДК;</w:t>
      </w:r>
    </w:p>
    <w:p>
      <w:pPr>
        <w:spacing w:after="120"/>
        <w:ind w:firstLine="397"/>
        <w:jc w:val="both"/>
      </w:pPr>
      <w:r>
        <w:rPr>
          <w:rFonts w:ascii="Arial" w:cs="Arial" w:eastAsia="Arial" w:hAnsi="Arial"/>
          <w:sz w:val="24"/>
          <w:szCs w:val="24"/>
        </w:rPr>
        <w:t xml:space="preserve">2) контактные сведения (т.е. телефон, факс, адрес электронной почты и т.д.);</w:t>
      </w:r>
    </w:p>
    <w:p>
      <w:pPr>
        <w:spacing w:after="120"/>
        <w:ind w:firstLine="397"/>
        <w:jc w:val="both"/>
      </w:pPr>
      <w:r>
        <w:rPr>
          <w:rFonts w:ascii="Arial" w:cs="Arial" w:eastAsia="Arial" w:hAnsi="Arial"/>
          <w:sz w:val="24"/>
          <w:szCs w:val="24"/>
        </w:rPr>
        <w:t xml:space="preserve">3) данные, связанные с отчетом по ВПОДК (отчетный период, дата составления отчета, дата последнего обновления, дата рассмотрения и утверждения советом директоров, представлена ли информация на индивидуальной или консолидированной основе);</w:t>
      </w:r>
    </w:p>
    <w:p>
      <w:pPr>
        <w:spacing w:after="120"/>
        <w:ind w:firstLine="397"/>
        <w:jc w:val="both"/>
      </w:pPr>
      <w:r>
        <w:rPr>
          <w:rFonts w:ascii="Arial" w:cs="Arial" w:eastAsia="Arial" w:hAnsi="Arial"/>
          <w:sz w:val="24"/>
          <w:szCs w:val="24"/>
        </w:rPr>
        <w:t xml:space="preserve">4) подпись лица и/или лиц, ответственных за составление отчета по ВПОДК.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4. Бизнес-модель и стратегия</w:t>
      </w:r>
    </w:p>
    <w:p>
      <w:pPr>
        <w:spacing w:after="120"/>
        <w:ind w:firstLine="397"/>
        <w:jc w:val="both"/>
      </w:pPr>
      <w:r>
        <w:rPr>
          <w:rFonts w:ascii="Arial" w:cs="Arial" w:eastAsia="Arial" w:hAnsi="Arial"/>
          <w:sz w:val="24"/>
          <w:szCs w:val="24"/>
        </w:rPr>
        <w:t xml:space="preserve">17. Банк должен проконтролировать, чтобы в отчет по ВПОДК были включены следующие аспекты:</w:t>
      </w:r>
    </w:p>
    <w:p>
      <w:pPr>
        <w:spacing w:after="120"/>
        <w:ind w:firstLine="397"/>
        <w:jc w:val="both"/>
      </w:pPr>
      <w:r>
        <w:rPr>
          <w:rFonts w:ascii="Arial" w:cs="Arial" w:eastAsia="Arial" w:hAnsi="Arial"/>
          <w:sz w:val="24"/>
          <w:szCs w:val="24"/>
        </w:rPr>
        <w:t xml:space="preserve">1) описание текущей бизнес-модели банка, включая определение основных направлений деятельности, рынков, географических зон и продуктов;</w:t>
      </w:r>
    </w:p>
    <w:p>
      <w:pPr>
        <w:spacing w:after="120"/>
        <w:ind w:firstLine="397"/>
        <w:jc w:val="both"/>
      </w:pPr>
      <w:r>
        <w:rPr>
          <w:rFonts w:ascii="Arial" w:cs="Arial" w:eastAsia="Arial" w:hAnsi="Arial"/>
          <w:sz w:val="24"/>
          <w:szCs w:val="24"/>
        </w:rPr>
        <w:t xml:space="preserve">2) краткое изложение действующего на отчетную дату бизнес-плана, утвержденного советом директоров;</w:t>
      </w:r>
    </w:p>
    <w:p>
      <w:pPr>
        <w:spacing w:after="120"/>
        <w:ind w:firstLine="397"/>
        <w:jc w:val="both"/>
      </w:pPr>
      <w:r>
        <w:rPr>
          <w:rFonts w:ascii="Arial" w:cs="Arial" w:eastAsia="Arial" w:hAnsi="Arial"/>
          <w:sz w:val="24"/>
          <w:szCs w:val="24"/>
        </w:rPr>
        <w:t xml:space="preserve">3) любые существенные изменения, ожидаемые в текущей бизнес-модели или базовой деятельности (включая информацию об операционных изменениях (например, в ИТ-инфраструктуре) или проблемах организации управления рисками);</w:t>
      </w:r>
    </w:p>
    <w:p>
      <w:pPr>
        <w:spacing w:after="120"/>
        <w:ind w:firstLine="397"/>
        <w:jc w:val="both"/>
      </w:pPr>
      <w:r>
        <w:rPr>
          <w:rFonts w:ascii="Arial" w:cs="Arial" w:eastAsia="Arial" w:hAnsi="Arial"/>
          <w:sz w:val="24"/>
          <w:szCs w:val="24"/>
        </w:rPr>
        <w:t xml:space="preserve">4) прогнозы ключевых финансовых параметров по основным направлениям деятельности и рынкам: необходимо включить описание основных источников дохода и затрат, распределенных по основным направлениям деятельности, рынкам и дочерним компаниям.</w:t>
      </w:r>
    </w:p>
    <w:p>
      <w:pPr>
        <w:spacing w:after="120"/>
        <w:ind w:firstLine="397"/>
        <w:jc w:val="both"/>
      </w:pPr>
      <w:r>
        <w:rPr>
          <w:rFonts w:ascii="Arial" w:cs="Arial" w:eastAsia="Arial" w:hAnsi="Arial"/>
          <w:sz w:val="24"/>
          <w:szCs w:val="24"/>
        </w:rPr>
        <w:t xml:space="preserve">18. Банк может включать информацию, указанную в </w:t>
      </w:r>
      <w:r>
        <w:rPr>
          <w:rFonts w:ascii="Arial" w:cs="Arial" w:eastAsia="Arial" w:hAnsi="Arial"/>
          <w:sz w:val="24"/>
          <w:szCs w:val="24"/>
        </w:rPr>
        <w:t xml:space="preserve">пункте 17</w:t>
      </w:r>
      <w:r>
        <w:rPr>
          <w:rFonts w:ascii="Arial" w:cs="Arial" w:eastAsia="Arial" w:hAnsi="Arial"/>
          <w:sz w:val="24"/>
          <w:szCs w:val="24"/>
        </w:rPr>
        <w:t xml:space="preserve"> настоящего Положения, путем перекрестной ссылки на свои текущие бизнес-планы, представляемые в Национальный банк в соответствии со </w:t>
      </w:r>
      <w:hyperlink w:history="1" r:id="rIdasdhnmjqoktqp2gp5dbwe">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5. Организация управления рисками в рамках ВПОДК</w:t>
      </w:r>
    </w:p>
    <w:p>
      <w:pPr>
        <w:spacing w:after="120"/>
        <w:ind w:firstLine="397"/>
        <w:jc w:val="both"/>
      </w:pPr>
      <w:r>
        <w:rPr>
          <w:rFonts w:ascii="Arial" w:cs="Arial" w:eastAsia="Arial" w:hAnsi="Arial"/>
          <w:sz w:val="24"/>
          <w:szCs w:val="24"/>
        </w:rPr>
        <w:t xml:space="preserve">19. Совет директоров банка:</w:t>
      </w:r>
    </w:p>
    <w:p>
      <w:pPr>
        <w:spacing w:after="120"/>
        <w:ind w:firstLine="397"/>
        <w:jc w:val="both"/>
      </w:pPr>
      <w:r>
        <w:rPr>
          <w:rFonts w:ascii="Arial" w:cs="Arial" w:eastAsia="Arial" w:hAnsi="Arial"/>
          <w:sz w:val="24"/>
          <w:szCs w:val="24"/>
        </w:rPr>
        <w:t xml:space="preserve">1) несет общую ответственность за реализацию ВПОДК. Для этих целей совет директоров оценивает и утверждает отчет по ВПОДК в соответствии с подпунктом 4 </w:t>
      </w:r>
      <w:r>
        <w:rPr>
          <w:rFonts w:ascii="Arial" w:cs="Arial" w:eastAsia="Arial" w:hAnsi="Arial"/>
          <w:sz w:val="24"/>
          <w:szCs w:val="24"/>
        </w:rPr>
        <w:t xml:space="preserve">пункта 7</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 ответственен за организацию управления рисками в рамках ВПОДК, в которой четко распределяются функции и обязанности при подготовке отчета по ВПОДК. Совет директоров банка утверждает отдельный внутренний документ, регламентирующий порядок подготовки, методику, а также распределяющий функции и обязанности подразделений банка при подготовке отчета по ВПОДК;</w:t>
      </w:r>
    </w:p>
    <w:p>
      <w:pPr>
        <w:spacing w:after="120"/>
        <w:ind w:firstLine="397"/>
        <w:jc w:val="both"/>
      </w:pPr>
      <w:r>
        <w:rPr>
          <w:rFonts w:ascii="Arial" w:cs="Arial" w:eastAsia="Arial" w:hAnsi="Arial"/>
          <w:sz w:val="24"/>
          <w:szCs w:val="24"/>
        </w:rPr>
        <w:t xml:space="preserve">3) должен иметь глубокое понимание достаточности капитала банка, его основных сильных и слабых сторон, основных входных и выходных данных по ВПОДК, параметров и процессов, лежащих в основе ВПОДК, и согласованности ВПОДК с бизнес-планом банка (резервы, дивиденды, прибыль, активы, взвешенные с учетом риска и т.д.).</w:t>
      </w:r>
    </w:p>
    <w:p>
      <w:pPr>
        <w:spacing w:after="120"/>
        <w:ind w:firstLine="397"/>
        <w:jc w:val="both"/>
      </w:pPr>
      <w:r>
        <w:rPr>
          <w:rFonts w:ascii="Arial" w:cs="Arial" w:eastAsia="Arial" w:hAnsi="Arial"/>
          <w:sz w:val="24"/>
          <w:szCs w:val="24"/>
        </w:rPr>
        <w:t xml:space="preserve">20. Правление банка согласовывает и реализует ВПОДК, эффективным образом включая его в систему управления рисками банка.</w:t>
      </w:r>
    </w:p>
    <w:p>
      <w:pPr>
        <w:spacing w:after="120"/>
        <w:ind w:firstLine="397"/>
        <w:jc w:val="both"/>
      </w:pPr>
      <w:r>
        <w:rPr>
          <w:rFonts w:ascii="Arial" w:cs="Arial" w:eastAsia="Arial" w:hAnsi="Arial"/>
          <w:sz w:val="24"/>
          <w:szCs w:val="24"/>
        </w:rPr>
        <w:t xml:space="preserve">21. В связи с тем, что ВПОДК являются неотъемлемой частью системы управления рисками банка и принятия решений, банк должен:</w:t>
      </w:r>
    </w:p>
    <w:p>
      <w:pPr>
        <w:spacing w:after="120"/>
        <w:ind w:firstLine="397"/>
        <w:jc w:val="both"/>
      </w:pPr>
      <w:r>
        <w:rPr>
          <w:rFonts w:ascii="Arial" w:cs="Arial" w:eastAsia="Arial" w:hAnsi="Arial"/>
          <w:sz w:val="24"/>
          <w:szCs w:val="24"/>
        </w:rPr>
        <w:t xml:space="preserve">а) интегрировать результаты, связанные с ВПОДК (такие как существенное развитие рисков, ключевые показатели и т.д.), во внутреннюю управленческую отчетность с соответствующей периодичностью;</w:t>
      </w:r>
    </w:p>
    <w:p>
      <w:pPr>
        <w:spacing w:after="120"/>
        <w:ind w:firstLine="397"/>
        <w:jc w:val="both"/>
      </w:pPr>
      <w:r>
        <w:rPr>
          <w:rFonts w:ascii="Arial" w:cs="Arial" w:eastAsia="Arial" w:hAnsi="Arial"/>
          <w:sz w:val="24"/>
          <w:szCs w:val="24"/>
        </w:rPr>
        <w:t xml:space="preserve">б) использовать результаты ВПОДК в процессе принятия решений, в том числе при:</w:t>
      </w:r>
    </w:p>
    <w:p>
      <w:pPr>
        <w:spacing w:after="120"/>
        <w:ind w:firstLine="397"/>
        <w:jc w:val="both"/>
      </w:pPr>
      <w:r>
        <w:rPr>
          <w:rFonts w:ascii="Arial" w:cs="Arial" w:eastAsia="Arial" w:hAnsi="Arial"/>
          <w:sz w:val="24"/>
          <w:szCs w:val="24"/>
        </w:rPr>
        <w:t xml:space="preserve">- установлении целевых показателей капитала банка;</w:t>
      </w:r>
    </w:p>
    <w:p>
      <w:pPr>
        <w:spacing w:after="120"/>
        <w:ind w:firstLine="397"/>
        <w:jc w:val="both"/>
      </w:pPr>
      <w:r>
        <w:rPr>
          <w:rFonts w:ascii="Arial" w:cs="Arial" w:eastAsia="Arial" w:hAnsi="Arial"/>
          <w:sz w:val="24"/>
          <w:szCs w:val="24"/>
        </w:rPr>
        <w:t xml:space="preserve">- принятии решений в отношении капитала банка, таких как выплата дивидендов, увеличение кредитного портфеля или привлечение нового капитала;</w:t>
      </w:r>
    </w:p>
    <w:p>
      <w:pPr>
        <w:spacing w:after="120"/>
        <w:ind w:firstLine="397"/>
        <w:jc w:val="both"/>
      </w:pPr>
      <w:r>
        <w:rPr>
          <w:rFonts w:ascii="Arial" w:cs="Arial" w:eastAsia="Arial" w:hAnsi="Arial"/>
          <w:sz w:val="24"/>
          <w:szCs w:val="24"/>
        </w:rPr>
        <w:t xml:space="preserve">- принятии решения о распределении капитала по направлениям деятельности, продуктам или клиентам, чтобы гарантировать корректировку прибыли с учетом рисков.</w:t>
      </w:r>
    </w:p>
    <w:p>
      <w:pPr>
        <w:spacing w:after="120"/>
        <w:ind w:firstLine="397"/>
        <w:jc w:val="both"/>
      </w:pPr>
      <w:r>
        <w:rPr>
          <w:rFonts w:ascii="Arial" w:cs="Arial" w:eastAsia="Arial" w:hAnsi="Arial"/>
          <w:sz w:val="24"/>
          <w:szCs w:val="24"/>
        </w:rPr>
        <w:t xml:space="preserve">22. ВПОДК регулярно проходят внутреннюю проверку. Служба внутреннего аудита банка осуществляет проверку ВПОДК в соответствии c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6. Выявление рисков</w:t>
      </w:r>
    </w:p>
    <w:p>
      <w:pPr>
        <w:spacing w:after="120"/>
        <w:ind w:firstLine="397"/>
        <w:jc w:val="both"/>
      </w:pPr>
      <w:r>
        <w:rPr>
          <w:rFonts w:ascii="Arial" w:cs="Arial" w:eastAsia="Arial" w:hAnsi="Arial"/>
          <w:sz w:val="24"/>
          <w:szCs w:val="24"/>
        </w:rPr>
        <w:t xml:space="preserve">23. Банк должен непрерывно выявлять все существенные риски, которым он подвергается при осуществлении своей деятельности. С этой целью в ВПОДК должны содержаться следующие элементы:</w:t>
      </w:r>
    </w:p>
    <w:p>
      <w:pPr>
        <w:spacing w:after="120"/>
        <w:ind w:firstLine="397"/>
        <w:jc w:val="both"/>
      </w:pPr>
      <w:r>
        <w:rPr>
          <w:rFonts w:ascii="Arial" w:cs="Arial" w:eastAsia="Arial" w:hAnsi="Arial"/>
          <w:sz w:val="24"/>
          <w:szCs w:val="24"/>
        </w:rPr>
        <w:t xml:space="preserve">1) при определении рисков, которым подвергается банк при осуществлении деятельности, банки исходят из перечня и определений рисков, приведенных в Положении по управлению рисками, а именно:</w:t>
      </w:r>
    </w:p>
    <w:p>
      <w:pPr>
        <w:spacing w:after="120"/>
        <w:ind w:firstLine="397"/>
        <w:jc w:val="both"/>
      </w:pPr>
      <w:r>
        <w:rPr>
          <w:rFonts w:ascii="Arial" w:cs="Arial" w:eastAsia="Arial" w:hAnsi="Arial"/>
          <w:sz w:val="24"/>
          <w:szCs w:val="24"/>
        </w:rPr>
        <w:t xml:space="preserve">а) кредитный риск;</w:t>
      </w:r>
    </w:p>
    <w:p>
      <w:pPr>
        <w:spacing w:after="120"/>
        <w:ind w:firstLine="397"/>
        <w:jc w:val="both"/>
      </w:pPr>
      <w:r>
        <w:rPr>
          <w:rFonts w:ascii="Arial" w:cs="Arial" w:eastAsia="Arial" w:hAnsi="Arial"/>
          <w:sz w:val="24"/>
          <w:szCs w:val="24"/>
        </w:rPr>
        <w:t xml:space="preserve">б) риск ликвидности;</w:t>
      </w:r>
    </w:p>
    <w:p>
      <w:pPr>
        <w:spacing w:after="120"/>
        <w:ind w:firstLine="397"/>
        <w:jc w:val="both"/>
      </w:pPr>
      <w:r>
        <w:rPr>
          <w:rFonts w:ascii="Arial" w:cs="Arial" w:eastAsia="Arial" w:hAnsi="Arial"/>
          <w:sz w:val="24"/>
          <w:szCs w:val="24"/>
        </w:rPr>
        <w:t xml:space="preserve">в) рыночный риск, который также включает:</w:t>
      </w:r>
    </w:p>
    <w:p>
      <w:pPr>
        <w:spacing w:after="120"/>
        <w:ind w:firstLine="397"/>
        <w:jc w:val="both"/>
      </w:pPr>
      <w:r>
        <w:rPr>
          <w:rFonts w:ascii="Arial" w:cs="Arial" w:eastAsia="Arial" w:hAnsi="Arial"/>
          <w:sz w:val="24"/>
          <w:szCs w:val="24"/>
        </w:rPr>
        <w:t xml:space="preserve">- ценовой риск;</w:t>
      </w:r>
    </w:p>
    <w:p>
      <w:pPr>
        <w:spacing w:after="120"/>
        <w:ind w:firstLine="397"/>
        <w:jc w:val="both"/>
      </w:pPr>
      <w:r>
        <w:rPr>
          <w:rFonts w:ascii="Arial" w:cs="Arial" w:eastAsia="Arial" w:hAnsi="Arial"/>
          <w:sz w:val="24"/>
          <w:szCs w:val="24"/>
        </w:rPr>
        <w:t xml:space="preserve">- процентный риск;</w:t>
      </w:r>
    </w:p>
    <w:p>
      <w:pPr>
        <w:spacing w:after="120"/>
        <w:ind w:firstLine="397"/>
        <w:jc w:val="both"/>
      </w:pPr>
      <w:r>
        <w:rPr>
          <w:rFonts w:ascii="Arial" w:cs="Arial" w:eastAsia="Arial" w:hAnsi="Arial"/>
          <w:sz w:val="24"/>
          <w:szCs w:val="24"/>
        </w:rPr>
        <w:t xml:space="preserve">- валютный риск;</w:t>
      </w:r>
    </w:p>
    <w:p>
      <w:pPr>
        <w:spacing w:after="120"/>
        <w:ind w:firstLine="397"/>
        <w:jc w:val="both"/>
      </w:pPr>
      <w:r>
        <w:rPr>
          <w:rFonts w:ascii="Arial" w:cs="Arial" w:eastAsia="Arial" w:hAnsi="Arial"/>
          <w:sz w:val="24"/>
          <w:szCs w:val="24"/>
        </w:rPr>
        <w:t xml:space="preserve">г) страновой риск, в том числе трансфертный риск и суверенный риск;</w:t>
      </w:r>
    </w:p>
    <w:p>
      <w:pPr>
        <w:spacing w:after="120"/>
        <w:ind w:firstLine="397"/>
        <w:jc w:val="both"/>
      </w:pPr>
      <w:r>
        <w:rPr>
          <w:rFonts w:ascii="Arial" w:cs="Arial" w:eastAsia="Arial" w:hAnsi="Arial"/>
          <w:sz w:val="24"/>
          <w:szCs w:val="24"/>
        </w:rPr>
        <w:t xml:space="preserve">д) операционный риск;</w:t>
      </w:r>
    </w:p>
    <w:p>
      <w:pPr>
        <w:spacing w:after="120"/>
        <w:ind w:firstLine="397"/>
        <w:jc w:val="both"/>
      </w:pPr>
      <w:r>
        <w:rPr>
          <w:rFonts w:ascii="Arial" w:cs="Arial" w:eastAsia="Arial" w:hAnsi="Arial"/>
          <w:sz w:val="24"/>
          <w:szCs w:val="24"/>
        </w:rPr>
        <w:t xml:space="preserve">е) репутационный риск;</w:t>
      </w:r>
    </w:p>
    <w:p>
      <w:pPr>
        <w:spacing w:after="120"/>
        <w:ind w:firstLine="397"/>
        <w:jc w:val="both"/>
      </w:pPr>
      <w:r>
        <w:rPr>
          <w:rFonts w:ascii="Arial" w:cs="Arial" w:eastAsia="Arial" w:hAnsi="Arial"/>
          <w:sz w:val="24"/>
          <w:szCs w:val="24"/>
        </w:rPr>
        <w:t xml:space="preserve">ж) комплаенс-риск;</w:t>
      </w:r>
    </w:p>
    <w:p>
      <w:pPr>
        <w:spacing w:after="120"/>
        <w:ind w:firstLine="397"/>
        <w:jc w:val="both"/>
      </w:pPr>
      <w:r>
        <w:rPr>
          <w:rFonts w:ascii="Arial" w:cs="Arial" w:eastAsia="Arial" w:hAnsi="Arial"/>
          <w:sz w:val="24"/>
          <w:szCs w:val="24"/>
        </w:rPr>
        <w:t xml:space="preserve">2) классификация рисков должна охватывать все виды рисков, которым банк подвергается в своей повседневной деятельности, в том числе те, которые труднее поддаются количественной оценке (репутационный, комплаенс-риск и др.). В дополнение к своим текущим рискам банк должен учитывать в своих перспективных оценках достаточности капитала любые риски, которые могут возникнуть в результате реализации его стратегий или соответствующих изменений в его операционной среде (например, риски, связанные с изменением климата; риски, связанные с криптовалютными активами и др.);</w:t>
      </w:r>
    </w:p>
    <w:p>
      <w:pPr>
        <w:spacing w:after="120"/>
        <w:ind w:firstLine="397"/>
        <w:jc w:val="both"/>
      </w:pPr>
      <w:r>
        <w:rPr>
          <w:rFonts w:ascii="Arial" w:cs="Arial" w:eastAsia="Arial" w:hAnsi="Arial"/>
          <w:sz w:val="24"/>
          <w:szCs w:val="24"/>
        </w:rPr>
        <w:t xml:space="preserve">3) банк должен предоставить подробное обоснование с указанием причин, по которым он не считает тот или иной риск существенным (например, возможные убытки не превышают 5% капитала Первого уровня банка и др.).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7. Оценка рисков</w:t>
      </w:r>
    </w:p>
    <w:p>
      <w:pPr>
        <w:spacing w:after="120"/>
        <w:ind w:firstLine="397"/>
        <w:jc w:val="both"/>
      </w:pPr>
      <w:r>
        <w:rPr>
          <w:rFonts w:ascii="Arial" w:cs="Arial" w:eastAsia="Arial" w:hAnsi="Arial"/>
          <w:sz w:val="24"/>
          <w:szCs w:val="24"/>
        </w:rPr>
        <w:t xml:space="preserve">24. После того, как банк определит существенные риски, которым он подвержен, ему необходимо оценить эти риски. При проведении такой оценки банк должен выполнить следующие требования:</w:t>
      </w:r>
    </w:p>
    <w:p>
      <w:pPr>
        <w:spacing w:after="120"/>
        <w:ind w:firstLine="397"/>
        <w:jc w:val="both"/>
      </w:pPr>
      <w:r>
        <w:rPr>
          <w:rFonts w:ascii="Arial" w:cs="Arial" w:eastAsia="Arial" w:hAnsi="Arial"/>
          <w:sz w:val="24"/>
          <w:szCs w:val="24"/>
        </w:rPr>
        <w:t xml:space="preserve">1) оценить присущий риск всех существенных рисков, которым подвержен банк, используя четыре возможных уровня (1 (низкий), 2 (приемлемый), 3 (существенный) и 4 (высокий)). Уровень «Присущий риск» должен рассматриваться как подверженность риску в отсутствие каких-либо средств и методов контроля:</w:t>
      </w:r>
    </w:p>
    <w:p>
      <w:pPr>
        <w:spacing w:after="120"/>
        <w:ind w:firstLine="397"/>
        <w:jc w:val="both"/>
      </w:pPr>
      <w:r>
        <w:rPr>
          <w:rFonts w:ascii="Arial" w:cs="Arial" w:eastAsia="Arial" w:hAnsi="Arial"/>
          <w:sz w:val="24"/>
          <w:szCs w:val="24"/>
        </w:rPr>
        <w:t xml:space="preserve">а) </w:t>
      </w:r>
      <w:r>
        <w:rPr>
          <w:rFonts w:ascii="Arial" w:cs="Arial" w:eastAsia="Arial" w:hAnsi="Arial"/>
          <w:b/>
          <w:bCs/>
          <w:sz w:val="24"/>
          <w:szCs w:val="24"/>
        </w:rPr>
        <w:t xml:space="preserve">высокий</w:t>
      </w:r>
      <w:r>
        <w:rPr>
          <w:rFonts w:ascii="Arial" w:cs="Arial" w:eastAsia="Arial" w:hAnsi="Arial"/>
          <w:sz w:val="24"/>
          <w:szCs w:val="24"/>
        </w:rPr>
        <w:t xml:space="preserve"> (4):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высокой;</w:t>
      </w:r>
    </w:p>
    <w:p>
      <w:pPr>
        <w:spacing w:after="120"/>
        <w:ind w:firstLine="397"/>
        <w:jc w:val="both"/>
      </w:pPr>
      <w:r>
        <w:rPr>
          <w:rFonts w:ascii="Arial" w:cs="Arial" w:eastAsia="Arial" w:hAnsi="Arial"/>
          <w:sz w:val="24"/>
          <w:szCs w:val="24"/>
        </w:rPr>
        <w:t xml:space="preserve">б) </w:t>
      </w:r>
      <w:r>
        <w:rPr>
          <w:rFonts w:ascii="Arial" w:cs="Arial" w:eastAsia="Arial" w:hAnsi="Arial"/>
          <w:b/>
          <w:bCs/>
          <w:sz w:val="24"/>
          <w:szCs w:val="24"/>
        </w:rPr>
        <w:t xml:space="preserve">существенный</w:t>
      </w:r>
      <w:r>
        <w:rPr>
          <w:rFonts w:ascii="Arial" w:cs="Arial" w:eastAsia="Arial" w:hAnsi="Arial"/>
          <w:sz w:val="24"/>
          <w:szCs w:val="24"/>
        </w:rPr>
        <w:t xml:space="preserve"> (3):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существенной;</w:t>
      </w:r>
    </w:p>
    <w:p>
      <w:pPr>
        <w:spacing w:after="120"/>
        <w:ind w:firstLine="397"/>
        <w:jc w:val="both"/>
      </w:pPr>
      <w:r>
        <w:rPr>
          <w:rFonts w:ascii="Arial" w:cs="Arial" w:eastAsia="Arial" w:hAnsi="Arial"/>
          <w:sz w:val="24"/>
          <w:szCs w:val="24"/>
        </w:rPr>
        <w:t xml:space="preserve">в) </w:t>
      </w:r>
      <w:r>
        <w:rPr>
          <w:rFonts w:ascii="Arial" w:cs="Arial" w:eastAsia="Arial" w:hAnsi="Arial"/>
          <w:b/>
          <w:bCs/>
          <w:sz w:val="24"/>
          <w:szCs w:val="24"/>
        </w:rPr>
        <w:t xml:space="preserve">приемлемый</w:t>
      </w:r>
      <w:r>
        <w:rPr>
          <w:rFonts w:ascii="Arial" w:cs="Arial" w:eastAsia="Arial" w:hAnsi="Arial"/>
          <w:sz w:val="24"/>
          <w:szCs w:val="24"/>
        </w:rPr>
        <w:t xml:space="preserve"> (2):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приемлемой;</w:t>
      </w:r>
    </w:p>
    <w:p>
      <w:pPr>
        <w:spacing w:after="120"/>
        <w:ind w:firstLine="397"/>
        <w:jc w:val="both"/>
      </w:pPr>
      <w:r>
        <w:rPr>
          <w:rFonts w:ascii="Arial" w:cs="Arial" w:eastAsia="Arial" w:hAnsi="Arial"/>
          <w:sz w:val="24"/>
          <w:szCs w:val="24"/>
        </w:rPr>
        <w:t xml:space="preserve">г) </w:t>
      </w:r>
      <w:r>
        <w:rPr>
          <w:rFonts w:ascii="Arial" w:cs="Arial" w:eastAsia="Arial" w:hAnsi="Arial"/>
          <w:b/>
          <w:bCs/>
          <w:sz w:val="24"/>
          <w:szCs w:val="24"/>
        </w:rPr>
        <w:t xml:space="preserve">низкий</w:t>
      </w:r>
      <w:r>
        <w:rPr>
          <w:rFonts w:ascii="Arial" w:cs="Arial" w:eastAsia="Arial" w:hAnsi="Arial"/>
          <w:sz w:val="24"/>
          <w:szCs w:val="24"/>
        </w:rPr>
        <w:t xml:space="preserve"> (1): вероятность того, что убытки банка, возникающие в результате воздействия и неопределенности в связи с текущими и потенциальными будущими событиями, не будут покрыты капиталом банка (банкротство банка), является низкой;</w:t>
      </w:r>
    </w:p>
    <w:p>
      <w:pPr>
        <w:spacing w:after="120"/>
        <w:ind w:firstLine="397"/>
        <w:jc w:val="both"/>
      </w:pPr>
      <w:r>
        <w:rPr>
          <w:rFonts w:ascii="Arial" w:cs="Arial" w:eastAsia="Arial" w:hAnsi="Arial"/>
          <w:sz w:val="24"/>
          <w:szCs w:val="24"/>
        </w:rPr>
        <w:t xml:space="preserve">2) банк должен обосновать оценку своих существенных рисков на основе количественных и качественных критериев. Количественные критерии могут включать финансовые показатели, распределение капитала банка, результаты внутренних стресс-тестов или другую соответствующую информацию, где применимо. Качественная информация может включать подробное объяснение основных факторов, определяющих степень риска банка;</w:t>
      </w:r>
    </w:p>
    <w:p>
      <w:pPr>
        <w:spacing w:after="120"/>
        <w:ind w:firstLine="397"/>
        <w:jc w:val="both"/>
      </w:pPr>
      <w:r>
        <w:rPr>
          <w:rFonts w:ascii="Arial" w:cs="Arial" w:eastAsia="Arial" w:hAnsi="Arial"/>
          <w:sz w:val="24"/>
          <w:szCs w:val="24"/>
        </w:rPr>
        <w:t xml:space="preserve">3) банк должен определить тенденцию (направление) своих существенных рисков, указав, увеличивается ли риск, стабилен или уменьшается;</w:t>
      </w:r>
    </w:p>
    <w:p>
      <w:pPr>
        <w:spacing w:after="120"/>
        <w:ind w:firstLine="397"/>
        <w:jc w:val="both"/>
      </w:pPr>
      <w:r>
        <w:rPr>
          <w:rFonts w:ascii="Arial" w:cs="Arial" w:eastAsia="Arial" w:hAnsi="Arial"/>
          <w:sz w:val="24"/>
          <w:szCs w:val="24"/>
        </w:rPr>
        <w:t xml:space="preserve">4) банк должен определить свой чистый риск. Чистый риск является результатом агрегирования присущего риска банка, который связан с его существенными рисками, с использованием степени риска и качества управления и контроля риска (КУК).</w:t>
      </w:r>
    </w:p>
    <w:p>
      <w:pPr>
        <w:spacing w:after="120"/>
        <w:ind w:firstLine="397"/>
        <w:jc w:val="both"/>
      </w:pPr>
      <w:r>
        <w:rPr>
          <w:rFonts w:ascii="Arial" w:cs="Arial" w:eastAsia="Arial" w:hAnsi="Arial"/>
          <w:sz w:val="24"/>
          <w:szCs w:val="24"/>
        </w:rPr>
        <w:t xml:space="preserve">25. Оценка качества управления и контроля (КУК) существенным риском банка должна быть классифицирована как: слабое (4), неадекватное (3), адекватное (2) и сильное (1) качество управления, как представлено ниже: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слабое:</w:t>
      </w:r>
      <w:r>
        <w:rPr>
          <w:rFonts w:ascii="Arial" w:cs="Arial" w:eastAsia="Arial" w:hAnsi="Arial"/>
          <w:sz w:val="24"/>
          <w:szCs w:val="24"/>
        </w:rPr>
        <w:t xml:space="preserve"> характеристики КУК в существенной степени не соответствуют тому, что считается необходимым, учитывая характер, объем, сложность и профиль рисков банка. КУК необходимо кардинально и незамедлительно улучшить;</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недостаточное:</w:t>
      </w:r>
      <w:r>
        <w:rPr>
          <w:rFonts w:ascii="Arial" w:cs="Arial" w:eastAsia="Arial" w:hAnsi="Arial"/>
          <w:sz w:val="24"/>
          <w:szCs w:val="24"/>
        </w:rPr>
        <w:t xml:space="preserve"> характеристики КУК в некоторых существенных аспектах не соответствуют тому, что считается необходимым, учитывая характер, объем, сложность и профиль рисков банка. Характеристики и/или производительность механизмов КУК не соответствуют надлежащей отраслевой практике, однако области, нуждающиеся в улучшении, не являются достаточно серьезными, чтобы вызывать пруденциальные опасения, если будут приняты своевременные меры;</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достаточное:</w:t>
      </w:r>
      <w:r>
        <w:rPr>
          <w:rFonts w:ascii="Arial" w:cs="Arial" w:eastAsia="Arial" w:hAnsi="Arial"/>
          <w:sz w:val="24"/>
          <w:szCs w:val="24"/>
        </w:rPr>
        <w:t xml:space="preserve"> характеристики КУК соответствуют тому, что считается необходимым, учитывая характер, объем, сложность и профиль рисков банка. КУК доказала свою эффективность и соответствие требованиям, с небольшими недостатками. Характеристики и результаты внедрения механизмов КУК соответствуют передовой отраслевой практике;</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сильное:</w:t>
      </w:r>
      <w:r>
        <w:rPr>
          <w:rFonts w:ascii="Arial" w:cs="Arial" w:eastAsia="Arial" w:hAnsi="Arial"/>
          <w:sz w:val="24"/>
          <w:szCs w:val="24"/>
        </w:rPr>
        <w:t xml:space="preserve"> характеристики (политики и стратегии, процессы и процедуры, средства контроля и персонал) КУК превышают показатели, которые считаются необходимыми, учитывая характер, объем, сложность и профиль рисков банка. КУК неизменно демонстрирует высокую эффективность. Характеристики и результаты внедрения механизмов КУК превосходят проверенные отраслевые стандарты.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8. Риск-аппетит</w:t>
      </w:r>
    </w:p>
    <w:p>
      <w:pPr>
        <w:spacing w:after="120"/>
        <w:ind w:firstLine="397"/>
        <w:jc w:val="both"/>
      </w:pPr>
      <w:r>
        <w:rPr>
          <w:rFonts w:ascii="Arial" w:cs="Arial" w:eastAsia="Arial" w:hAnsi="Arial"/>
          <w:sz w:val="24"/>
          <w:szCs w:val="24"/>
        </w:rPr>
        <w:t xml:space="preserve">26. Банку необходимо установить свой риск-аппетит через внутренний документ об уровне риск-аппетита, который должен быть тесно взаимосвязан с ВПОДК. В рамках ВПОДК банк должен:</w:t>
      </w:r>
    </w:p>
    <w:p>
      <w:pPr>
        <w:spacing w:after="120"/>
        <w:ind w:firstLine="397"/>
        <w:jc w:val="both"/>
      </w:pPr>
      <w:r>
        <w:rPr>
          <w:rFonts w:ascii="Arial" w:cs="Arial" w:eastAsia="Arial" w:hAnsi="Arial"/>
          <w:sz w:val="24"/>
          <w:szCs w:val="24"/>
        </w:rPr>
        <w:t xml:space="preserve">1) определить уровни капитала, которые банк считает достаточными для своей деятельности, принимая во внимание как минимум следующие аспекты:</w:t>
      </w:r>
    </w:p>
    <w:p>
      <w:pPr>
        <w:spacing w:after="120"/>
        <w:ind w:firstLine="397"/>
        <w:jc w:val="both"/>
      </w:pPr>
      <w:r>
        <w:rPr>
          <w:rFonts w:ascii="Arial" w:cs="Arial" w:eastAsia="Arial" w:hAnsi="Arial"/>
          <w:sz w:val="24"/>
          <w:szCs w:val="24"/>
        </w:rPr>
        <w:t xml:space="preserve">а) чистый риск банка;</w:t>
      </w:r>
    </w:p>
    <w:p>
      <w:pPr>
        <w:spacing w:after="120"/>
        <w:ind w:firstLine="397"/>
        <w:jc w:val="both"/>
      </w:pPr>
      <w:r>
        <w:rPr>
          <w:rFonts w:ascii="Arial" w:cs="Arial" w:eastAsia="Arial" w:hAnsi="Arial"/>
          <w:sz w:val="24"/>
          <w:szCs w:val="24"/>
        </w:rPr>
        <w:t xml:space="preserve">б) минимальные требования к капиталу;</w:t>
      </w:r>
    </w:p>
    <w:p>
      <w:pPr>
        <w:spacing w:after="120"/>
        <w:ind w:firstLine="397"/>
        <w:jc w:val="both"/>
      </w:pPr>
      <w:r>
        <w:rPr>
          <w:rFonts w:ascii="Arial" w:cs="Arial" w:eastAsia="Arial" w:hAnsi="Arial"/>
          <w:sz w:val="24"/>
          <w:szCs w:val="24"/>
        </w:rPr>
        <w:t xml:space="preserve">в) индекс «буфер капитала»;</w:t>
      </w:r>
    </w:p>
    <w:p>
      <w:pPr>
        <w:spacing w:after="120"/>
        <w:ind w:firstLine="397"/>
        <w:jc w:val="both"/>
      </w:pPr>
      <w:r>
        <w:rPr>
          <w:rFonts w:ascii="Arial" w:cs="Arial" w:eastAsia="Arial" w:hAnsi="Arial"/>
          <w:sz w:val="24"/>
          <w:szCs w:val="24"/>
        </w:rPr>
        <w:t xml:space="preserve">г) внутренние требования к капиталу, рассчитанные в соответствии с документом по ВПОДК;</w:t>
      </w:r>
    </w:p>
    <w:p>
      <w:pPr>
        <w:spacing w:after="120"/>
        <w:ind w:firstLine="397"/>
        <w:jc w:val="both"/>
      </w:pPr>
      <w:r>
        <w:rPr>
          <w:rFonts w:ascii="Arial" w:cs="Arial" w:eastAsia="Arial" w:hAnsi="Arial"/>
          <w:sz w:val="24"/>
          <w:szCs w:val="24"/>
        </w:rPr>
        <w:t xml:space="preserve">д) дополнительный буферный резерв, который банк готов поддерживать сверх своих минимальных требований к капиталу и индекса «буфер капитала»;</w:t>
      </w:r>
    </w:p>
    <w:p>
      <w:pPr>
        <w:spacing w:after="120"/>
        <w:ind w:firstLine="397"/>
        <w:jc w:val="both"/>
      </w:pPr>
      <w:r>
        <w:rPr>
          <w:rFonts w:ascii="Arial" w:cs="Arial" w:eastAsia="Arial" w:hAnsi="Arial"/>
          <w:sz w:val="24"/>
          <w:szCs w:val="24"/>
        </w:rPr>
        <w:t xml:space="preserve">е) доступные меры, с помощью которых банк может формировать капитал в соответствии с планом финансового оздоровления;</w:t>
      </w:r>
    </w:p>
    <w:p>
      <w:pPr>
        <w:spacing w:after="120"/>
        <w:ind w:firstLine="397"/>
        <w:jc w:val="both"/>
      </w:pPr>
      <w:r>
        <w:rPr>
          <w:rFonts w:ascii="Arial" w:cs="Arial" w:eastAsia="Arial" w:hAnsi="Arial"/>
          <w:sz w:val="24"/>
          <w:szCs w:val="24"/>
        </w:rPr>
        <w:t xml:space="preserve">ж) результаты стресс-тестов банков, проведенных в соответствии с ВПОДК;</w:t>
      </w:r>
    </w:p>
    <w:p>
      <w:pPr>
        <w:spacing w:after="120"/>
        <w:ind w:firstLine="397"/>
        <w:jc w:val="both"/>
      </w:pPr>
      <w:r>
        <w:rPr>
          <w:rFonts w:ascii="Arial" w:cs="Arial" w:eastAsia="Arial" w:hAnsi="Arial"/>
          <w:sz w:val="24"/>
          <w:szCs w:val="24"/>
        </w:rPr>
        <w:t xml:space="preserve">з) потенциальные потребности в капитале, определяемые в планах банка по капиталу;</w:t>
      </w:r>
    </w:p>
    <w:p>
      <w:pPr>
        <w:spacing w:after="120"/>
        <w:ind w:firstLine="397"/>
        <w:jc w:val="both"/>
      </w:pPr>
      <w:r>
        <w:rPr>
          <w:rFonts w:ascii="Arial" w:cs="Arial" w:eastAsia="Arial" w:hAnsi="Arial"/>
          <w:sz w:val="24"/>
          <w:szCs w:val="24"/>
        </w:rPr>
        <w:t xml:space="preserve">и) политика выплаты дивидендов;</w:t>
      </w:r>
    </w:p>
    <w:p>
      <w:pPr>
        <w:spacing w:after="120"/>
        <w:ind w:firstLine="397"/>
        <w:jc w:val="both"/>
      </w:pPr>
      <w:r>
        <w:rPr>
          <w:rFonts w:ascii="Arial" w:cs="Arial" w:eastAsia="Arial" w:hAnsi="Arial"/>
          <w:sz w:val="24"/>
          <w:szCs w:val="24"/>
        </w:rPr>
        <w:t xml:space="preserve">2) описание уровня риск-аппетита и лимитов, установленных для выявленных существенных рисков, а также временных горизонтов и процесса, применяемого для поддержания таких лимитов в актуальном состоянии. Банк должен предоставить обоснование определения внутреннего документа по риск-аппетиту. Ожидается, что банк предоставит достаточное объяснение (представит собственный прошлый опыт, текущий уровень банковского сектора, цели, предусмотренные в его бизнес-стратегии и т.д.), чтобы надзорные органы могли понять пороговые значения, установленные самим банком;</w:t>
      </w:r>
    </w:p>
    <w:p>
      <w:pPr>
        <w:spacing w:after="120"/>
        <w:ind w:firstLine="397"/>
        <w:jc w:val="both"/>
      </w:pPr>
      <w:r>
        <w:rPr>
          <w:rFonts w:ascii="Arial" w:cs="Arial" w:eastAsia="Arial" w:hAnsi="Arial"/>
          <w:sz w:val="24"/>
          <w:szCs w:val="24"/>
        </w:rPr>
        <w:t xml:space="preserve">3) риск-аппетит должен охватывать риски банка, если они признаны существенными (операционный риск, репутационный риск и т.д.).</w:t>
      </w:r>
    </w:p>
    <w:p>
      <w:pPr>
        <w:spacing w:after="120"/>
        <w:ind w:firstLine="397"/>
        <w:jc w:val="both"/>
      </w:pPr>
      <w:r>
        <w:rPr>
          <w:rFonts w:ascii="Arial" w:cs="Arial" w:eastAsia="Arial" w:hAnsi="Arial"/>
          <w:sz w:val="24"/>
          <w:szCs w:val="24"/>
        </w:rPr>
        <w:t xml:space="preserve">27. Банк может делать перекрестные ссылки на риск-аппетит в бизнес-планах. В этом случае банку необходимо будет подтвердить, насколько все его существенные риски были предусмотрены риск-аппетитом.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9. Внутренние требования к капиталу</w:t>
      </w:r>
    </w:p>
    <w:p>
      <w:pPr>
        <w:spacing w:after="120"/>
        <w:ind w:firstLine="397"/>
        <w:jc w:val="both"/>
      </w:pPr>
      <w:r>
        <w:rPr>
          <w:rFonts w:ascii="Arial" w:cs="Arial" w:eastAsia="Arial" w:hAnsi="Arial"/>
          <w:sz w:val="24"/>
          <w:szCs w:val="24"/>
        </w:rPr>
        <w:t xml:space="preserve">28. С учетом требований Инструкции по достаточности капитала в банке должен быть предусмотрен внутренний подход, в соответствии с которым банк должен выявить и количественно оценить все существенные риски, которые могут привести к убыткам и повлиять на снижение размера капитала банка.</w:t>
      </w:r>
    </w:p>
    <w:p>
      <w:pPr>
        <w:spacing w:after="120"/>
        <w:ind w:firstLine="397"/>
        <w:jc w:val="both"/>
      </w:pPr>
      <w:r>
        <w:rPr>
          <w:rFonts w:ascii="Arial" w:cs="Arial" w:eastAsia="Arial" w:hAnsi="Arial"/>
          <w:sz w:val="24"/>
          <w:szCs w:val="24"/>
        </w:rPr>
        <w:t xml:space="preserve">29. Банки должны определять свои внутренние требования к капиталу в отношении рисков, которые включены в расчет достаточности капитала в соответствии с Инструкцией по достаточности капитала (кредитный и операционный риск), и для тех существенных рисков, к которым Инструкцией по достаточности капитала не предусмотрены требования (например, риск кредитной концентрации, риск процентной ставки в банковском портфеле, комплаенс-риск и т.д.). При этом банк обязан:</w:t>
      </w:r>
    </w:p>
    <w:p>
      <w:pPr>
        <w:spacing w:after="120"/>
        <w:ind w:firstLine="397"/>
        <w:jc w:val="both"/>
      </w:pPr>
      <w:r>
        <w:rPr>
          <w:rFonts w:ascii="Arial" w:cs="Arial" w:eastAsia="Arial" w:hAnsi="Arial"/>
          <w:sz w:val="24"/>
          <w:szCs w:val="24"/>
        </w:rPr>
        <w:t xml:space="preserve">1) использовать любой из следующих подходов к рискам:</w:t>
      </w:r>
    </w:p>
    <w:p>
      <w:pPr>
        <w:spacing w:after="120"/>
        <w:ind w:firstLine="397"/>
        <w:jc w:val="both"/>
      </w:pPr>
      <w:r>
        <w:rPr>
          <w:rFonts w:ascii="Arial" w:cs="Arial" w:eastAsia="Arial" w:hAnsi="Arial"/>
          <w:sz w:val="24"/>
          <w:szCs w:val="24"/>
        </w:rPr>
        <w:t xml:space="preserve">а) требования, предусмотренные в Инструкции по достаточности капитала, при этом дополняя риски, которые могут быть недостаточно покрыты такими требованиями;</w:t>
      </w:r>
    </w:p>
    <w:p>
      <w:pPr>
        <w:spacing w:after="120"/>
        <w:ind w:firstLine="397"/>
        <w:jc w:val="both"/>
      </w:pPr>
      <w:r>
        <w:rPr>
          <w:rFonts w:ascii="Arial" w:cs="Arial" w:eastAsia="Arial" w:hAnsi="Arial"/>
          <w:sz w:val="24"/>
          <w:szCs w:val="24"/>
        </w:rPr>
        <w:t xml:space="preserve">б) собственный управленческий подход с использованием собственных внутренних моделей для оценки внутренних требований к капиталу. При этом данный подход должен быть интегрирован во внутренние процессы управления капиталом банка (т.е. распределение капитала, ценообразование, андеррайтинг кредитного риска и т.д.);</w:t>
      </w:r>
    </w:p>
    <w:p>
      <w:pPr>
        <w:spacing w:after="120"/>
        <w:ind w:firstLine="397"/>
        <w:jc w:val="both"/>
      </w:pPr>
      <w:r>
        <w:rPr>
          <w:rFonts w:ascii="Arial" w:cs="Arial" w:eastAsia="Arial" w:hAnsi="Arial"/>
          <w:sz w:val="24"/>
          <w:szCs w:val="24"/>
        </w:rPr>
        <w:t xml:space="preserve">2) к рискам, в отношении которых Инструкцией по достаточности капитала не предусмотрены требования, банк как минимум должен:</w:t>
      </w:r>
    </w:p>
    <w:p>
      <w:pPr>
        <w:spacing w:after="120"/>
        <w:ind w:firstLine="397"/>
        <w:jc w:val="both"/>
      </w:pPr>
      <w:r>
        <w:rPr>
          <w:rFonts w:ascii="Arial" w:cs="Arial" w:eastAsia="Arial" w:hAnsi="Arial"/>
          <w:sz w:val="24"/>
          <w:szCs w:val="24"/>
        </w:rPr>
        <w:t xml:space="preserve">а) оценить и распределить капитал с учетом риска кредитной концентрации. Банк должен покрывать как минимум риск индивидуальной и отраслевой концентрации.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Положению банкам предлагаются стандартизированные подходы, которым они могут следовать при распределении капитала для покрытия риска кредитной концентрации;</w:t>
      </w:r>
    </w:p>
    <w:p>
      <w:pPr>
        <w:spacing w:after="120"/>
        <w:ind w:firstLine="397"/>
        <w:jc w:val="both"/>
      </w:pPr>
      <w:r>
        <w:rPr>
          <w:rFonts w:ascii="Arial" w:cs="Arial" w:eastAsia="Arial" w:hAnsi="Arial"/>
          <w:sz w:val="24"/>
          <w:szCs w:val="24"/>
        </w:rPr>
        <w:t xml:space="preserve">б) оценить свою подверженность риску процентной ставки в банковском портфеле и выделить капитал для покрытия этого риска;</w:t>
      </w:r>
    </w:p>
    <w:p>
      <w:pPr>
        <w:spacing w:after="120"/>
        <w:ind w:firstLine="397"/>
        <w:jc w:val="both"/>
      </w:pPr>
      <w:r>
        <w:rPr>
          <w:rFonts w:ascii="Arial" w:cs="Arial" w:eastAsia="Arial" w:hAnsi="Arial"/>
          <w:sz w:val="24"/>
          <w:szCs w:val="24"/>
        </w:rPr>
        <w:t xml:space="preserve">в) оценить свою подверженность бизнес-риску и выделить капитал для покрытия этого риска;</w:t>
      </w:r>
    </w:p>
    <w:p>
      <w:pPr>
        <w:spacing w:after="120"/>
        <w:ind w:firstLine="397"/>
        <w:jc w:val="both"/>
      </w:pPr>
      <w:r>
        <w:rPr>
          <w:rFonts w:ascii="Arial" w:cs="Arial" w:eastAsia="Arial" w:hAnsi="Arial"/>
          <w:sz w:val="24"/>
          <w:szCs w:val="24"/>
        </w:rPr>
        <w:t xml:space="preserve">г) оценить свою подверженность комплаенс-риску и выделить капитал для покрытия этого риска;</w:t>
      </w:r>
    </w:p>
    <w:p>
      <w:pPr>
        <w:spacing w:after="120"/>
        <w:ind w:firstLine="397"/>
        <w:jc w:val="both"/>
      </w:pPr>
      <w:r>
        <w:rPr>
          <w:rFonts w:ascii="Arial" w:cs="Arial" w:eastAsia="Arial" w:hAnsi="Arial"/>
          <w:sz w:val="24"/>
          <w:szCs w:val="24"/>
        </w:rPr>
        <w:t xml:space="preserve">д) оценить свою подверженность рыночному риску и выделить капитал для покрытия этого риска;</w:t>
      </w:r>
    </w:p>
    <w:p>
      <w:pPr>
        <w:spacing w:after="120"/>
        <w:ind w:firstLine="397"/>
        <w:jc w:val="both"/>
      </w:pPr>
      <w:r>
        <w:rPr>
          <w:rFonts w:ascii="Arial" w:cs="Arial" w:eastAsia="Arial" w:hAnsi="Arial"/>
          <w:sz w:val="24"/>
          <w:szCs w:val="24"/>
        </w:rPr>
        <w:t xml:space="preserve">е) оценить свою подверженность другим существенным рискам;</w:t>
      </w:r>
    </w:p>
    <w:p>
      <w:pPr>
        <w:spacing w:after="120"/>
        <w:ind w:firstLine="397"/>
        <w:jc w:val="both"/>
      </w:pPr>
      <w:r>
        <w:rPr>
          <w:rFonts w:ascii="Arial" w:cs="Arial" w:eastAsia="Arial" w:hAnsi="Arial"/>
          <w:sz w:val="24"/>
          <w:szCs w:val="24"/>
        </w:rPr>
        <w:t xml:space="preserve">ж) в случаях когда банк не в состоянии количественно оценить свой внутренний капитал для покрытия других существенных рисков, он должен выделить от 5 до 15% от своего капитала, предусмотренного для рисков, которые рассчитываются в соответствии с Инструкцией по достаточности капитала.</w:t>
      </w:r>
    </w:p>
    <w:p>
      <w:pPr>
        <w:spacing w:after="120"/>
        <w:ind w:firstLine="397"/>
        <w:jc w:val="both"/>
      </w:pPr>
      <w:r>
        <w:rPr>
          <w:rFonts w:ascii="Arial" w:cs="Arial" w:eastAsia="Arial" w:hAnsi="Arial"/>
          <w:sz w:val="24"/>
          <w:szCs w:val="24"/>
        </w:rPr>
        <w:t xml:space="preserve">30. При расчете внутренних требований к капиталу банк не должен:</w:t>
      </w:r>
    </w:p>
    <w:p>
      <w:pPr>
        <w:spacing w:after="120"/>
        <w:ind w:firstLine="397"/>
        <w:jc w:val="both"/>
      </w:pPr>
      <w:r>
        <w:rPr>
          <w:rFonts w:ascii="Arial" w:cs="Arial" w:eastAsia="Arial" w:hAnsi="Arial"/>
          <w:sz w:val="24"/>
          <w:szCs w:val="24"/>
        </w:rPr>
        <w:t xml:space="preserve">1) количественно определять любые внутренние требования к капиталу для рисков ликвидности, поскольку эти риски не должны покрываться капиталом;</w:t>
      </w:r>
    </w:p>
    <w:p>
      <w:pPr>
        <w:spacing w:after="120"/>
        <w:ind w:firstLine="397"/>
        <w:jc w:val="both"/>
      </w:pPr>
      <w:r>
        <w:rPr>
          <w:rFonts w:ascii="Arial" w:cs="Arial" w:eastAsia="Arial" w:hAnsi="Arial"/>
          <w:sz w:val="24"/>
          <w:szCs w:val="24"/>
        </w:rPr>
        <w:t xml:space="preserve">2) устанавливать внутренние требования к капиталу ниже минимальных требований к капиталу, рассчитанных в соответствии с Инструкцией по достаточности капитала;</w:t>
      </w:r>
    </w:p>
    <w:p>
      <w:pPr>
        <w:spacing w:after="120"/>
        <w:ind w:firstLine="397"/>
        <w:jc w:val="both"/>
      </w:pPr>
      <w:r>
        <w:rPr>
          <w:rFonts w:ascii="Arial" w:cs="Arial" w:eastAsia="Arial" w:hAnsi="Arial"/>
          <w:sz w:val="24"/>
          <w:szCs w:val="24"/>
        </w:rPr>
        <w:t xml:space="preserve">3) внедрять сложные методологии количественной оценки рисков, которые банк не полностью понимает и которые, следовательно, не используются для его собственного внутреннего управления рисками и принятия решений.</w:t>
      </w:r>
    </w:p>
    <w:p>
      <w:pPr>
        <w:spacing w:after="120"/>
        <w:ind w:firstLine="397"/>
        <w:jc w:val="both"/>
      </w:pPr>
      <w:r>
        <w:rPr>
          <w:rFonts w:ascii="Arial" w:cs="Arial" w:eastAsia="Arial" w:hAnsi="Arial"/>
          <w:sz w:val="24"/>
          <w:szCs w:val="24"/>
        </w:rPr>
        <w:t xml:space="preserve">Банк должен продемонстрировать адекватность методологий с учетом оценки чистого риска.</w:t>
      </w:r>
    </w:p>
    <w:p>
      <w:pPr>
        <w:spacing w:after="120"/>
        <w:ind w:firstLine="397"/>
        <w:jc w:val="both"/>
      </w:pPr>
      <w:r>
        <w:rPr>
          <w:rFonts w:ascii="Arial" w:cs="Arial" w:eastAsia="Arial" w:hAnsi="Arial"/>
          <w:sz w:val="24"/>
          <w:szCs w:val="24"/>
        </w:rPr>
        <w:t xml:space="preserve">31. В отчете по ВПОДК банки должны включить главу, предусмотренную в настоящем параграфе, включая следующее:</w:t>
      </w:r>
    </w:p>
    <w:p>
      <w:pPr>
        <w:spacing w:after="120"/>
        <w:ind w:firstLine="397"/>
        <w:jc w:val="both"/>
      </w:pPr>
      <w:r>
        <w:rPr>
          <w:rFonts w:ascii="Arial" w:cs="Arial" w:eastAsia="Arial" w:hAnsi="Arial"/>
          <w:sz w:val="24"/>
          <w:szCs w:val="24"/>
        </w:rPr>
        <w:t xml:space="preserve">1) сопоставление или соответствие между:</w:t>
      </w:r>
    </w:p>
    <w:p>
      <w:pPr>
        <w:spacing w:after="120"/>
        <w:ind w:firstLine="397"/>
        <w:jc w:val="both"/>
      </w:pPr>
      <w:r>
        <w:rPr>
          <w:rFonts w:ascii="Arial" w:cs="Arial" w:eastAsia="Arial" w:hAnsi="Arial"/>
          <w:sz w:val="24"/>
          <w:szCs w:val="24"/>
        </w:rPr>
        <w:t xml:space="preserve">а) выявление существенных рисков в соответствии с </w:t>
      </w:r>
      <w:r>
        <w:rPr>
          <w:rFonts w:ascii="Arial" w:cs="Arial" w:eastAsia="Arial" w:hAnsi="Arial"/>
          <w:sz w:val="24"/>
          <w:szCs w:val="24"/>
        </w:rPr>
        <w:t xml:space="preserve">пунктом 23</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б) оценку этих существенных рисков в соответствии с пунктами </w:t>
      </w:r>
      <w:r>
        <w:rPr>
          <w:rFonts w:ascii="Arial" w:cs="Arial" w:eastAsia="Arial" w:hAnsi="Arial"/>
          <w:sz w:val="24"/>
          <w:szCs w:val="24"/>
        </w:rPr>
        <w:t xml:space="preserve">24</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настоящего Положения; а также</w:t>
      </w:r>
    </w:p>
    <w:p>
      <w:pPr>
        <w:spacing w:after="120"/>
        <w:ind w:firstLine="397"/>
        <w:jc w:val="both"/>
      </w:pPr>
      <w:r>
        <w:rPr>
          <w:rFonts w:ascii="Arial" w:cs="Arial" w:eastAsia="Arial" w:hAnsi="Arial"/>
          <w:sz w:val="24"/>
          <w:szCs w:val="24"/>
        </w:rPr>
        <w:t xml:space="preserve">в) требования к капиталу, который был выделен для покрытия рисков;</w:t>
      </w:r>
    </w:p>
    <w:p>
      <w:pPr>
        <w:spacing w:after="120"/>
        <w:ind w:firstLine="397"/>
        <w:jc w:val="both"/>
      </w:pPr>
      <w:r>
        <w:rPr>
          <w:rFonts w:ascii="Arial" w:cs="Arial" w:eastAsia="Arial" w:hAnsi="Arial"/>
          <w:sz w:val="24"/>
          <w:szCs w:val="24"/>
        </w:rPr>
        <w:t xml:space="preserve">2) использование результатов и показателей внутренней оценки достаточности капитала при стратегическом и оперативном планировании, а также при установлении риск-аппетита.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10. Планирование капитала</w:t>
      </w:r>
    </w:p>
    <w:p>
      <w:pPr>
        <w:spacing w:after="120"/>
        <w:ind w:firstLine="397"/>
        <w:jc w:val="both"/>
      </w:pPr>
      <w:r>
        <w:rPr>
          <w:rFonts w:ascii="Arial" w:cs="Arial" w:eastAsia="Arial" w:hAnsi="Arial"/>
          <w:sz w:val="24"/>
          <w:szCs w:val="24"/>
        </w:rPr>
        <w:t xml:space="preserve">32. Банк должен разработать свой план по капиталу путем прогнозирования своих коэффициентов достаточности капитала, перспективной оценки капитала банка и требований к капиталу, а также обеспечения его полного соответствия бизнес-планам банка и информирования о целевых показателях капитала банка.</w:t>
      </w:r>
    </w:p>
    <w:p>
      <w:pPr>
        <w:spacing w:after="120"/>
        <w:ind w:firstLine="397"/>
        <w:jc w:val="both"/>
      </w:pPr>
      <w:r>
        <w:rPr>
          <w:rFonts w:ascii="Arial" w:cs="Arial" w:eastAsia="Arial" w:hAnsi="Arial"/>
          <w:sz w:val="24"/>
          <w:szCs w:val="24"/>
        </w:rPr>
        <w:t xml:space="preserve">33. При разработке планов по капиталу, упомянутых в предыдущем пункте настоящего Положения, банк должен:</w:t>
      </w:r>
    </w:p>
    <w:p>
      <w:pPr>
        <w:spacing w:after="120"/>
        <w:ind w:firstLine="397"/>
        <w:jc w:val="both"/>
      </w:pPr>
      <w:r>
        <w:rPr>
          <w:rFonts w:ascii="Arial" w:cs="Arial" w:eastAsia="Arial" w:hAnsi="Arial"/>
          <w:sz w:val="24"/>
          <w:szCs w:val="24"/>
        </w:rPr>
        <w:t xml:space="preserve">1) взять за основу тот же макроэкономический сценарий, что и в бизнес-плане банка в соответствии пунктом 1 части 4 </w:t>
      </w:r>
      <w:hyperlink w:history="1" r:id="rIdpxypw_wie9dkcthwm6wse">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о банках, включая расчеты и прогнозы, сделанные с учетом реальных экономических условий сегмента рынка, в котором будет работать банк;</w:t>
      </w:r>
    </w:p>
    <w:p>
      <w:pPr>
        <w:spacing w:after="120"/>
        <w:ind w:firstLine="397"/>
        <w:jc w:val="both"/>
      </w:pPr>
      <w:r>
        <w:rPr>
          <w:rFonts w:ascii="Arial" w:cs="Arial" w:eastAsia="Arial" w:hAnsi="Arial"/>
          <w:sz w:val="24"/>
          <w:szCs w:val="24"/>
        </w:rPr>
        <w:t xml:space="preserve">2) использовать финансовые прогнозы в соответствии с бизнес-планом, корректируя их, где это применимо, путем применения пруденциальных правил (например, требований по резервам);</w:t>
      </w:r>
    </w:p>
    <w:p>
      <w:pPr>
        <w:spacing w:after="120"/>
        <w:ind w:firstLine="397"/>
        <w:jc w:val="both"/>
      </w:pPr>
      <w:r>
        <w:rPr>
          <w:rFonts w:ascii="Arial" w:cs="Arial" w:eastAsia="Arial" w:hAnsi="Arial"/>
          <w:sz w:val="24"/>
          <w:szCs w:val="24"/>
        </w:rPr>
        <w:t xml:space="preserve">3) оценить ожидаемое изменение капитала, активов банка, взвешенных с учетом риска, и требований к достаточности капитала на трехлетний период;</w:t>
      </w:r>
    </w:p>
    <w:p>
      <w:pPr>
        <w:spacing w:after="120"/>
        <w:ind w:firstLine="397"/>
        <w:jc w:val="both"/>
      </w:pPr>
      <w:r>
        <w:rPr>
          <w:rFonts w:ascii="Arial" w:cs="Arial" w:eastAsia="Arial" w:hAnsi="Arial"/>
          <w:sz w:val="24"/>
          <w:szCs w:val="24"/>
        </w:rPr>
        <w:t xml:space="preserve">4) оценить и количественно определить связанные с капиталом действия, которые банк планирует предпринять в прогнозируемый период, в том числе:</w:t>
      </w:r>
    </w:p>
    <w:p>
      <w:pPr>
        <w:spacing w:after="120"/>
        <w:ind w:firstLine="397"/>
        <w:jc w:val="both"/>
      </w:pPr>
      <w:r>
        <w:rPr>
          <w:rFonts w:ascii="Arial" w:cs="Arial" w:eastAsia="Arial" w:hAnsi="Arial"/>
          <w:sz w:val="24"/>
          <w:szCs w:val="24"/>
        </w:rPr>
        <w:t xml:space="preserve">а) нераспределенная прибыль и выплата дивидендов;</w:t>
      </w:r>
    </w:p>
    <w:p>
      <w:pPr>
        <w:spacing w:after="120"/>
        <w:ind w:firstLine="397"/>
        <w:jc w:val="both"/>
      </w:pPr>
      <w:r>
        <w:rPr>
          <w:rFonts w:ascii="Arial" w:cs="Arial" w:eastAsia="Arial" w:hAnsi="Arial"/>
          <w:sz w:val="24"/>
          <w:szCs w:val="24"/>
        </w:rPr>
        <w:t xml:space="preserve">б) увеличение собственных средств за счет привлечения субординированного долга, выпуска акций или инструментов капитала Первого уровня;</w:t>
      </w:r>
    </w:p>
    <w:p>
      <w:pPr>
        <w:spacing w:after="120"/>
        <w:ind w:firstLine="397"/>
        <w:jc w:val="both"/>
      </w:pPr>
      <w:r>
        <w:rPr>
          <w:rFonts w:ascii="Arial" w:cs="Arial" w:eastAsia="Arial" w:hAnsi="Arial"/>
          <w:sz w:val="24"/>
          <w:szCs w:val="24"/>
        </w:rPr>
        <w:t xml:space="preserve">в) продажа активов или финансовых долей;</w:t>
      </w:r>
    </w:p>
    <w:p>
      <w:pPr>
        <w:spacing w:after="120"/>
        <w:ind w:firstLine="397"/>
        <w:jc w:val="both"/>
      </w:pPr>
      <w:r>
        <w:rPr>
          <w:rFonts w:ascii="Arial" w:cs="Arial" w:eastAsia="Arial" w:hAnsi="Arial"/>
          <w:sz w:val="24"/>
          <w:szCs w:val="24"/>
        </w:rPr>
        <w:t xml:space="preserve">г) влияние предстоящих изменений в нормативно-правовой базе и системе бухгалтерского учета, когда это уместно;</w:t>
      </w:r>
    </w:p>
    <w:p>
      <w:pPr>
        <w:spacing w:after="120"/>
        <w:ind w:firstLine="397"/>
        <w:jc w:val="both"/>
      </w:pPr>
      <w:r>
        <w:rPr>
          <w:rFonts w:ascii="Arial" w:cs="Arial" w:eastAsia="Arial" w:hAnsi="Arial"/>
          <w:sz w:val="24"/>
          <w:szCs w:val="24"/>
        </w:rPr>
        <w:t xml:space="preserve">5) необходимо проследить за тем, чтобы план по капиталу был надежным, актуальным и полностью соответствовал бизнес-плану и стратегическому плану банка, риск-аппетиту и капитальным ресурсам.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11. Стресс-тестирование</w:t>
      </w:r>
    </w:p>
    <w:p>
      <w:pPr>
        <w:spacing w:after="120"/>
        <w:ind w:firstLine="397"/>
        <w:jc w:val="both"/>
      </w:pPr>
      <w:r>
        <w:rPr>
          <w:rFonts w:ascii="Arial" w:cs="Arial" w:eastAsia="Arial" w:hAnsi="Arial"/>
          <w:sz w:val="24"/>
          <w:szCs w:val="24"/>
        </w:rPr>
        <w:t xml:space="preserve">34. Банки должны проводить стресс-тесты в рамках своих отчетов по ВПОДК для выявления тех событий или изменения рыночных обстоятельств, которые могут неблагоприятно повлиять на достаточность капитала банка в будущем. Для этого банки должны:</w:t>
      </w:r>
    </w:p>
    <w:p>
      <w:pPr>
        <w:spacing w:after="120"/>
        <w:ind w:firstLine="397"/>
        <w:jc w:val="both"/>
      </w:pPr>
      <w:r>
        <w:rPr>
          <w:rFonts w:ascii="Arial" w:cs="Arial" w:eastAsia="Arial" w:hAnsi="Arial"/>
          <w:sz w:val="24"/>
          <w:szCs w:val="24"/>
        </w:rPr>
        <w:t xml:space="preserve">1) провести углубленный анализ своих уязвимостей, выявив все существенные риски в масштабах всего банка, и на основе этого анализа определить один стрессовый сценарий;</w:t>
      </w:r>
    </w:p>
    <w:p>
      <w:pPr>
        <w:spacing w:after="120"/>
        <w:ind w:firstLine="397"/>
        <w:jc w:val="both"/>
      </w:pPr>
      <w:r>
        <w:rPr>
          <w:rFonts w:ascii="Arial" w:cs="Arial" w:eastAsia="Arial" w:hAnsi="Arial"/>
          <w:sz w:val="24"/>
          <w:szCs w:val="24"/>
        </w:rPr>
        <w:t xml:space="preserve">2) адаптировать уровень стресс-тестов в сценарии к отдельным ключевым уязвимостям банка, вытекающим из его бизнес-модели и операционной среды в контексте стрессовых макроэкономических и финансовых обстоятельств.</w:t>
      </w:r>
    </w:p>
    <w:p>
      <w:pPr>
        <w:spacing w:after="120"/>
        <w:ind w:firstLine="397"/>
        <w:jc w:val="both"/>
      </w:pPr>
      <w:r>
        <w:rPr>
          <w:rFonts w:ascii="Arial" w:cs="Arial" w:eastAsia="Arial" w:hAnsi="Arial"/>
          <w:sz w:val="24"/>
          <w:szCs w:val="24"/>
        </w:rPr>
        <w:t xml:space="preserve">Стрессовые сценарии должны быть достаточно интенсивными и охватывать ситуации, которые происходили в соответствующей операционной среде банка в течение достаточно длительного периода, и могут предусматривать активные стратегии управления для смягчения их последствий. С этой целью банк может рассмотреть экономическую и финансовую ситуации в Кыргызской Республике и соседних странах, имевшие место во время последних банковских кризисов.</w:t>
      </w:r>
    </w:p>
    <w:p>
      <w:pPr>
        <w:spacing w:after="120"/>
        <w:ind w:firstLine="397"/>
        <w:jc w:val="both"/>
      </w:pPr>
      <w:r>
        <w:rPr>
          <w:rFonts w:ascii="Arial" w:cs="Arial" w:eastAsia="Arial" w:hAnsi="Arial"/>
          <w:sz w:val="24"/>
          <w:szCs w:val="24"/>
        </w:rPr>
        <w:t xml:space="preserve">Применение жестких, но правдоподобных макродопущений, а также акцентирование внимания на ключевых уязвимостях позволит оценить существенность влияния на достаточность капитала банка;</w:t>
      </w:r>
    </w:p>
    <w:p>
      <w:pPr>
        <w:spacing w:after="120"/>
        <w:ind w:firstLine="397"/>
        <w:jc w:val="both"/>
      </w:pPr>
      <w:r>
        <w:rPr>
          <w:rFonts w:ascii="Arial" w:cs="Arial" w:eastAsia="Arial" w:hAnsi="Arial"/>
          <w:sz w:val="24"/>
          <w:szCs w:val="24"/>
        </w:rPr>
        <w:t xml:space="preserve">3) по существенным рискам банкам необходимо:</w:t>
      </w:r>
    </w:p>
    <w:p>
      <w:pPr>
        <w:spacing w:after="120"/>
        <w:ind w:firstLine="397"/>
        <w:jc w:val="both"/>
      </w:pPr>
      <w:r>
        <w:rPr>
          <w:rFonts w:ascii="Arial" w:cs="Arial" w:eastAsia="Arial" w:hAnsi="Arial"/>
          <w:sz w:val="24"/>
          <w:szCs w:val="24"/>
        </w:rPr>
        <w:t xml:space="preserve">а) объяснить, как существенные риски банка учитывались при стресс-тестировании;</w:t>
      </w:r>
    </w:p>
    <w:p>
      <w:pPr>
        <w:spacing w:after="120"/>
        <w:ind w:firstLine="397"/>
        <w:jc w:val="both"/>
      </w:pPr>
      <w:r>
        <w:rPr>
          <w:rFonts w:ascii="Arial" w:cs="Arial" w:eastAsia="Arial" w:hAnsi="Arial"/>
          <w:sz w:val="24"/>
          <w:szCs w:val="24"/>
        </w:rPr>
        <w:t xml:space="preserve">б) сопоставить с ними основные факторы риска, использованные в стресс-тесте;</w:t>
      </w:r>
    </w:p>
    <w:p>
      <w:pPr>
        <w:spacing w:after="120"/>
        <w:ind w:firstLine="397"/>
        <w:jc w:val="both"/>
      </w:pPr>
      <w:r>
        <w:rPr>
          <w:rFonts w:ascii="Arial" w:cs="Arial" w:eastAsia="Arial" w:hAnsi="Arial"/>
          <w:sz w:val="24"/>
          <w:szCs w:val="24"/>
        </w:rPr>
        <w:t xml:space="preserve">4) рассчитать нормативы достаточности капитала в стрессовом сценарии;</w:t>
      </w:r>
    </w:p>
    <w:p>
      <w:pPr>
        <w:spacing w:after="120"/>
        <w:ind w:firstLine="397"/>
        <w:jc w:val="both"/>
      </w:pPr>
      <w:r>
        <w:rPr>
          <w:rFonts w:ascii="Arial" w:cs="Arial" w:eastAsia="Arial" w:hAnsi="Arial"/>
          <w:sz w:val="24"/>
          <w:szCs w:val="24"/>
        </w:rPr>
        <w:t xml:space="preserve">5) объяснить методики, которые банк использовал для подготовки анализа сценариев, в том числе то, как он прогнозировал свои проблемные кредиты и кредитные убытки;</w:t>
      </w:r>
    </w:p>
    <w:p>
      <w:pPr>
        <w:spacing w:after="120"/>
        <w:ind w:firstLine="397"/>
        <w:jc w:val="both"/>
      </w:pPr>
      <w:r>
        <w:rPr>
          <w:rFonts w:ascii="Arial" w:cs="Arial" w:eastAsia="Arial" w:hAnsi="Arial"/>
          <w:sz w:val="24"/>
          <w:szCs w:val="24"/>
        </w:rPr>
        <w:t xml:space="preserve">6) предоставить интерпретацию или описание количественного результата сценария.</w:t>
      </w:r>
    </w:p>
    <w:p>
      <w:pPr>
        <w:spacing w:after="120"/>
        <w:ind w:firstLine="397"/>
        <w:jc w:val="both"/>
      </w:pPr>
      <w:r>
        <w:rPr>
          <w:rFonts w:ascii="Arial" w:cs="Arial" w:eastAsia="Arial" w:hAnsi="Arial"/>
          <w:sz w:val="24"/>
          <w:szCs w:val="24"/>
        </w:rPr>
        <w:t xml:space="preserve">35. Для определения стресс-тестирования банк должен провести и отразить в своем отчете по ВПОДК макро-стресс-тест, который рассматривает сценарий общего ухудшения в результате значительного падения показателя экономической активности (рецессии). Этот сценарий должен отражать достаточно неблагоприятные условия и может включать ухудшение макроэкономической ситуации Кыргызской Республики, в том числе соответствующее падение валового внутреннего продукта, рост уровня безработицы, инфляции и процентных ставок, ухудшение внешней конъюнктуры страны. Стрессовые финансовые прогнозы сценария должны охватывать трехлетний период.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 12. Прочие положения</w:t>
      </w:r>
    </w:p>
    <w:p>
      <w:pPr>
        <w:spacing w:after="120"/>
        <w:ind w:firstLine="397"/>
        <w:jc w:val="both"/>
      </w:pPr>
      <w:r>
        <w:rPr>
          <w:rFonts w:ascii="Arial" w:cs="Arial" w:eastAsia="Arial" w:hAnsi="Arial"/>
          <w:sz w:val="24"/>
          <w:szCs w:val="24"/>
        </w:rPr>
        <w:t xml:space="preserve">36. В дополнение к информации, описанной выше в параграфах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настоящей главы, банки должны включать в свой отчет по ВПОДК следующую информацию:</w:t>
      </w:r>
    </w:p>
    <w:p>
      <w:pPr>
        <w:spacing w:after="120"/>
        <w:ind w:firstLine="397"/>
        <w:jc w:val="both"/>
      </w:pPr>
      <w:r>
        <w:rPr>
          <w:rFonts w:ascii="Arial" w:cs="Arial" w:eastAsia="Arial" w:hAnsi="Arial"/>
          <w:sz w:val="24"/>
          <w:szCs w:val="24"/>
        </w:rPr>
        <w:t xml:space="preserve">1) краткое описание выявленных пробелов и недостатков ВПОДК;</w:t>
      </w:r>
    </w:p>
    <w:p>
      <w:pPr>
        <w:spacing w:after="120"/>
        <w:ind w:firstLine="397"/>
        <w:jc w:val="both"/>
      </w:pPr>
      <w:r>
        <w:rPr>
          <w:rFonts w:ascii="Arial" w:cs="Arial" w:eastAsia="Arial" w:hAnsi="Arial"/>
          <w:sz w:val="24"/>
          <w:szCs w:val="24"/>
        </w:rPr>
        <w:t xml:space="preserve">2) план действий, составленный для устранения существенных пробелов и недостатков, выявленных в соответствии с подпунктом 1 настоящего параграфа. План действий может включать среди прочего следующие меры:</w:t>
      </w:r>
    </w:p>
    <w:p>
      <w:pPr>
        <w:spacing w:after="120"/>
        <w:ind w:firstLine="397"/>
        <w:jc w:val="both"/>
      </w:pPr>
      <w:r>
        <w:rPr>
          <w:rFonts w:ascii="Arial" w:cs="Arial" w:eastAsia="Arial" w:hAnsi="Arial"/>
          <w:sz w:val="24"/>
          <w:szCs w:val="24"/>
        </w:rPr>
        <w:t xml:space="preserve">а) улучшение чистого риска банка, в том числе сокращение или прекращение рискованных видов деятельности или бизнес-направлений, внедрение методов снижения рисков и т.д.;</w:t>
      </w:r>
    </w:p>
    <w:p>
      <w:pPr>
        <w:spacing w:after="120"/>
        <w:ind w:firstLine="397"/>
        <w:jc w:val="both"/>
      </w:pPr>
      <w:r>
        <w:rPr>
          <w:rFonts w:ascii="Arial" w:cs="Arial" w:eastAsia="Arial" w:hAnsi="Arial"/>
          <w:sz w:val="24"/>
          <w:szCs w:val="24"/>
        </w:rPr>
        <w:t xml:space="preserve">б) повышение качества управления и контроля рисков банка; а также</w:t>
      </w:r>
    </w:p>
    <w:p>
      <w:pPr>
        <w:spacing w:after="120"/>
        <w:ind w:firstLine="397"/>
        <w:jc w:val="both"/>
      </w:pPr>
      <w:r>
        <w:rPr>
          <w:rFonts w:ascii="Arial" w:cs="Arial" w:eastAsia="Arial" w:hAnsi="Arial"/>
          <w:sz w:val="24"/>
          <w:szCs w:val="24"/>
        </w:rPr>
        <w:t xml:space="preserve">в) изменение целевого показателя по капиталу.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Оценка отчета по ВПОДК</w:t>
      </w:r>
    </w:p>
    <w:p>
      <w:pPr>
        <w:spacing w:after="120"/>
        <w:ind w:firstLine="397"/>
        <w:jc w:val="both"/>
      </w:pPr>
      <w:r>
        <w:rPr>
          <w:rFonts w:ascii="Arial" w:cs="Arial" w:eastAsia="Arial" w:hAnsi="Arial"/>
          <w:sz w:val="24"/>
          <w:szCs w:val="24"/>
        </w:rPr>
        <w:t xml:space="preserve">37. В течение 2 (двух) месяцев со дня представления банком каждого отчета по ВПОДК Национальный банк рассматривает его и оценивает, в достаточной ли степени он охватывает всю информацию, которая должна в него включаться.</w:t>
      </w:r>
    </w:p>
    <w:p>
      <w:pPr>
        <w:spacing w:after="120"/>
        <w:ind w:firstLine="397"/>
        <w:jc w:val="both"/>
      </w:pPr>
      <w:r>
        <w:rPr>
          <w:rFonts w:ascii="Arial" w:cs="Arial" w:eastAsia="Arial" w:hAnsi="Arial"/>
          <w:sz w:val="24"/>
          <w:szCs w:val="24"/>
        </w:rPr>
        <w:t xml:space="preserve">38. Национальный банк оценивает отчеты по ВПОДК с учетом требований настоящего Положения, а также внутренних методик, разработанных для оценки и сопоставления представляемых банками отчетов по ВПОДК.</w:t>
      </w:r>
    </w:p>
    <w:p>
      <w:pPr>
        <w:spacing w:after="120"/>
        <w:ind w:firstLine="397"/>
        <w:jc w:val="both"/>
      </w:pPr>
      <w:r>
        <w:rPr>
          <w:rFonts w:ascii="Arial" w:cs="Arial" w:eastAsia="Arial" w:hAnsi="Arial"/>
          <w:sz w:val="24"/>
          <w:szCs w:val="24"/>
        </w:rPr>
        <w:t xml:space="preserve">39. При оценке обоснованности, эффективности и полноты отчета по ВПОДК Национальный банк учитывает соответствие структуры капитала банка уровню сложности организационной структуры и чистого риска банка.</w:t>
      </w:r>
    </w:p>
    <w:p>
      <w:pPr>
        <w:spacing w:after="120"/>
        <w:ind w:firstLine="397"/>
        <w:jc w:val="both"/>
      </w:pPr>
      <w:r>
        <w:rPr>
          <w:rFonts w:ascii="Arial" w:cs="Arial" w:eastAsia="Arial" w:hAnsi="Arial"/>
          <w:sz w:val="24"/>
          <w:szCs w:val="24"/>
        </w:rPr>
        <w:t xml:space="preserve">40. Если Национальный банк посчитает, что в отчете по ВПОДК имеются существенные недостатки, он уведомляет банк о своей оценке и требует от банка представить в течение 2 (двух) месяцев пересмотренный с учетом комментариев Национального банка отчет, демонстрирующий их устранение.</w:t>
      </w:r>
    </w:p>
    <w:p>
      <w:pPr>
        <w:spacing w:after="120"/>
        <w:ind w:firstLine="397"/>
        <w:jc w:val="both"/>
      </w:pPr>
      <w:r>
        <w:rPr>
          <w:rFonts w:ascii="Arial" w:cs="Arial" w:eastAsia="Arial" w:hAnsi="Arial"/>
          <w:sz w:val="24"/>
          <w:szCs w:val="24"/>
        </w:rPr>
        <w:t xml:space="preserve">41. Если Национальный банк не считает, что недостатки в пересмотренном отчете должным образом устранены, он информирует банк о необходимости внесения соответствующих изменений в отчет.</w:t>
      </w:r>
    </w:p>
    <w:p>
      <w:pPr>
        <w:spacing w:after="120"/>
        <w:ind w:firstLine="397"/>
        <w:jc w:val="both"/>
      </w:pPr>
      <w:r>
        <w:rPr>
          <w:rFonts w:ascii="Arial" w:cs="Arial" w:eastAsia="Arial" w:hAnsi="Arial"/>
          <w:sz w:val="24"/>
          <w:szCs w:val="24"/>
        </w:rPr>
        <w:t xml:space="preserve">42. В случае непредставления банком пересмотренного отчета по ВПОДК или если Национальный банк установит, что пересмотренный отчет по ВПОДК не устраняет надлежащим образом недостатки, выявленные в его первоначальной оценке, то Национальный банк может применить к банку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aawhgvwixte9yyyvik8c9">
        <w:r>
          <w:rPr>
            <w:rFonts w:ascii="Arial" w:cs="Arial" w:eastAsia="Arial" w:hAnsi="Arial"/>
            <w:color w:val="1D4ED8"/>
            <w:sz w:val="24"/>
            <w:szCs w:val="24"/>
            <w:u w:val="single"/>
          </w:rPr>
          <w:t xml:space="preserve">Положению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w:t>
      </w:r>
    </w:p>
    <w:p>
      <w:pPr>
        <w:spacing w:after="240" w:before="200"/>
        <w:jc w:val="center"/>
      </w:pPr>
      <w:r>
        <w:rPr>
          <w:rFonts w:ascii="Arial" w:cs="Arial" w:eastAsia="Arial" w:hAnsi="Arial"/>
          <w:b/>
          <w:bCs/>
          <w:sz w:val="32"/>
          <w:szCs w:val="32"/>
        </w:rPr>
        <w:t xml:space="preserve">по ВПОДК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Резюме для руководства</w:t>
      </w:r>
    </w:p>
    <w:p>
      <w:pPr>
        <w:spacing w:after="240" w:before="200"/>
        <w:jc w:val="center"/>
      </w:pPr>
      <w:r>
        <w:rPr>
          <w:rFonts w:ascii="Arial" w:cs="Arial" w:eastAsia="Arial" w:hAnsi="Arial"/>
          <w:b/>
          <w:bCs/>
          <w:sz w:val="32"/>
          <w:szCs w:val="32"/>
        </w:rPr>
        <w:t xml:space="preserve">(см. параграф 2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Целевые показатели по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определяет свои целевые показатели по капиталу и определяет, достаточен ли в настоящее время капитал банка, принимая во внимание (а) чистый риск банка, (б) минимальные требования к капиталу, (в) когда применимо, индекс «буферного капитала», (г) внутренние требования к капиталу, (д) дополнительный буферный резерв, который банк готов поддерживать сверх минимальных требований к капиталу, (е) доступные меры, с помощью которых банк может генерировать капитал в соответствии с планом финансового оздоровления, (ж) результаты стресс-тестов, проведенных банками в соответствии с ВПОДК, (з) потенциальные потребности в капитале, определенные в планах банка по капиталу (и) политику выплаты дивидендов. Ожидается, что банк будет выражать свои целевые показатели достаточности капитала, по крайней мере, в отношении Базового капитала и суммарного капитала.]</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Бизнес-модель</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 опишите бизнес-модель и текущее финансовое состояние банка, указав сумму общих активов и наиболее важные статьи активов, доходы, расходы и прибыль. Определите основные направления деятельности. Укажите любые ожидаемые изменения в текущей бизнес-модели, ожидаемую будущую бизнес-среду, бизнес-планы и прогнозируемое финансовое состояние на следующий год. Банк может сделать перекрестную ссылку на эту часть в бизнес-планах.]</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Организация системы управления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 опишите систему управления рисками для подготовки, утверждения, мониторинга и проверки отчета по ВПОДК, в том числе подробно укажите задействованные подразделения и процесс утверждения, а также был ли документ проверен службой внутреннего аудита.</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Выявление и оценка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предоставляет перечень существенных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[Существенные риски банка и их оценка, заключающаяся в самооценке банком собственного чистого риска]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 Перечень существенных рисков, которым подвержен или может быть подвержен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7"/>
        <w:gridCol w:w="2597"/>
        <w:gridCol w:w="2597"/>
        <w:gridCol w:w="2386"/>
      </w:tblGrid>
      <w:tr>
        <w:tc>
          <w:tcPr>
            <w:tcW w:type="dxa" w:w="7791"/>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Классификация рисков (определяется банком)</w:t>
            </w:r>
          </w:p>
        </w:tc>
        <w:tc>
          <w:tcPr>
            <w:tcW w:type="dxa" w:w="23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(да/нет)</w:t>
            </w:r>
          </w:p>
        </w:tc>
      </w:tr>
      <w:tr>
        <w:tc>
          <w:tcPr>
            <w:tcW w:type="dxa" w:w="259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основных рисков</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 основного риска</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Под-риски, включенные в эту категорию</w:t>
            </w:r>
          </w:p>
        </w:tc>
        <w:tc>
          <w:tcPr>
            <w:vMerge w:val="continue"/>
            <w:tcBorders>
              <w:top w:val="single" w:color="CBBF9E" w:sz="4"/>
              <w:left w:val="none" w:color="auto" w:sz="0"/>
              <w:bottom w:val="single" w:color="CBBF9E" w:sz="4"/>
              <w:right w:val="single" w:color="CBBF9E" w:sz="4"/>
            </w:tcBorders>
          </w:tcP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кредитной концентрации</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разбивки на подкатегории</w:t>
            </w:r>
          </w:p>
        </w:tc>
      </w:tr>
      <w:tr>
        <w:tc>
          <w:tcPr>
            <w:vMerge w:val="continue"/>
            <w:tcBorders>
              <w:top w:val="none" w:color="auto" w:sz="0"/>
              <w:left w:val="single" w:color="CBBF9E" w:sz="4"/>
              <w:bottom w:val="single" w:color="CBBF9E" w:sz="4"/>
              <w:right w:val="single" w:color="CBBF9E" w:sz="4"/>
            </w:tcBorders>
          </w:tcPr>
          <w:p/>
        </w:tc>
        <w:tc>
          <w:tcPr>
            <w:tcW w:type="dxa" w:w="25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 Существенные риски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4"/>
        <w:gridCol w:w="1276"/>
        <w:gridCol w:w="1895"/>
        <w:gridCol w:w="1895"/>
        <w:gridCol w:w="2227"/>
      </w:tblGrid>
      <w:tr>
        <w:tc>
          <w:tcPr>
            <w:tcW w:type="dxa" w:w="2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1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3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Внутренние требования к капиталу</w:t>
            </w:r>
          </w:p>
        </w:tc>
        <w:tc>
          <w:tcPr>
            <w:tcW w:type="dxa" w:w="2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Включено в стресс-тестирование (да/нет)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Качественные (да/нет)</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Количественные (да/нет)</w:t>
            </w:r>
          </w:p>
        </w:tc>
        <w:tc>
          <w:tcPr>
            <w:vMerge w:val="continue"/>
            <w:tcBorders>
              <w:top w:val="single" w:color="CBBF9E" w:sz="4"/>
              <w:left w:val="none" w:color="auto" w:sz="0"/>
              <w:bottom w:val="single" w:color="CBBF9E" w:sz="4"/>
              <w:right w:val="single" w:color="CBBF9E" w:sz="4"/>
            </w:tcBorders>
          </w:tcP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w:t>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w:t>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8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3. Самооценка банком собственного чистого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2"/>
        <w:gridCol w:w="1736"/>
        <w:gridCol w:w="2343"/>
        <w:gridCol w:w="1248"/>
      </w:tblGrid>
      <w:tr>
        <w:tc>
          <w:tcPr>
            <w:tcW w:type="dxa" w:w="48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существенного риска</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w:t>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Адекватное</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Растет</w:t>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Агрегация (чистый риск)</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Риск-аппетит и целевые показатели по капиталу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[Риск-аппетит банка, включая основные индикаторы и пороговые значения риска. Банку необходимо описать свой риск-аппетит в отношении всех рисков, которым он подвергается, и которые были определены как существенные.]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показатели банка по капиталу. Как минимум ожидается, что банк предоставит свои целевые показатели по капиталу с точки зрения Базового капитала и суммарного капитала.]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4. Внутренний документ о показателях уровня риск-аппетита и о целевых показателях по капиталу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0"/>
        <w:gridCol w:w="2453"/>
        <w:gridCol w:w="4318"/>
        <w:gridCol w:w="1227"/>
      </w:tblGrid>
      <w:tr>
        <w:tc>
          <w:tcPr>
            <w:tcW w:type="dxa" w:w="21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значение - %</w:t>
            </w:r>
          </w:p>
        </w:tc>
        <w:tc>
          <w:tcPr>
            <w:tcW w:type="dxa" w:w="43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 раннего предупреждения - %</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 %</w:t>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6. Внутренние требования к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[Общие внутренние требования к капиталу определяются путем суммирования внутренних требований к капиталу для всех существенных рисков]</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5. Требования к капиталу по существенному риску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3"/>
        <w:gridCol w:w="2707"/>
        <w:gridCol w:w="2817"/>
      </w:tblGrid>
      <w:tr>
        <w:tc>
          <w:tcPr>
            <w:tcW w:type="dxa" w:w="465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46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Существенный риск (основной риск существенного под-риска)</w:t>
            </w:r>
          </w:p>
        </w:tc>
        <w:tc>
          <w:tcPr>
            <w:tcW w:type="dxa" w:w="27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размер капитала</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Внутренние требования к капиталу</w:t>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Планирование капитала и принятие решений</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краткий обзор результатов планирования капитала и описывает, как банк планирует управлять капиталом]</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 Планирование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2"/>
        <w:gridCol w:w="1366"/>
        <w:gridCol w:w="610"/>
        <w:gridCol w:w="610"/>
        <w:gridCol w:w="610"/>
      </w:tblGrid>
      <w:tr>
        <w:tc>
          <w:tcPr>
            <w:tcW w:type="dxa" w:w="69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30"/>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9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3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Инструменты привлечения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ЧРА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 связанные с ЧРА, в соответствии с Инструкцией по достаточности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Кредитный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Корреспондентские счета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Межбанковские депозиты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РЕПО-операции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выпущенные Кабинетом Министров Кыргызской Республики и местными органами власти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Долговые ценные бумаги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Инструменты привлечения капитала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банкам Кыргызской Республики и иностранным банкам и финансовым организациям</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государственному сектору</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Ипотечные кредиты частному сектору (включая физических лиц)</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средства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Забалансовые позиции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Прочее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Операционный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ЧРА дополнительных рисков (риски, по которым Инструкцией по достаточности капитала не установлены требования)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Стресс-тестирование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внутреннего стресс-тестирования банка, проведенного в рамках ВПОДК]</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7. Планирование капитала в стрессовых ситуациях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2"/>
        <w:gridCol w:w="1366"/>
        <w:gridCol w:w="610"/>
        <w:gridCol w:w="610"/>
        <w:gridCol w:w="610"/>
      </w:tblGrid>
      <w:tr>
        <w:tc>
          <w:tcPr>
            <w:tcW w:type="dxa" w:w="69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30"/>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9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36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Инструменты привлечения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вычеты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ЧРА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 связанные с ЧРА, в соответствии с Инструкцией по достаточности капитала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Кредитный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Корреспондентские счета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Межбанковские депозиты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РЕПО-операции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выпущенные Кабинетом Министров Кыргызской Республики и местными органами власти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Долговые ценные бумаги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Инструменты привлечения капитала кыргызских и иностранных компаний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банкам Кыргызской Республики и иностранным банкам и финансовым организациям</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государственному сектору</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Ипотечные кредиты частному сектору (включая физических лиц)</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средства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Забалансовые позиции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Прочее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Операционный риск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ЧРА дополнительных рисков (риски, по которым Инструкцией по достаточности капитала не установлены требования)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Принятие решений по капиталу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[Решения по капиталу, принятые банком в связи с ВПОДК]</w:t>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Собственная оценка достаточности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краткое описание самооценки достаточности ВПОДК, описание слабых сторон и недостатков, а также план улучшения ВПОДК и сроки реализации этого плана.]</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Общая информация</w:t>
      </w:r>
    </w:p>
    <w:p>
      <w:pPr>
        <w:spacing w:after="240" w:before="200"/>
        <w:jc w:val="center"/>
      </w:pPr>
      <w:r>
        <w:rPr>
          <w:rFonts w:ascii="Arial" w:cs="Arial" w:eastAsia="Arial" w:hAnsi="Arial"/>
          <w:b/>
          <w:bCs/>
          <w:sz w:val="32"/>
          <w:szCs w:val="32"/>
        </w:rPr>
        <w:t xml:space="preserve">(см. параграф 3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Общие сведения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банка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к которому относится 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составления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Лицо/лица, ответственные за координацию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 контактного лица/лиц, согласовавших отчет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Организационный отдел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и адрес электронной почты контактных лиц/лица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последнего отчета внутреннего аудитора по ВПОДК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утверждения советом директоров и подпись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применения ВПОДК в банке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Укажите, внедряются ли ВПОДК на индивидуальной или консолидированной основе. Если ВПОДК применяются на консолидированной основе, укажите юридические лица, включенные в отчет, прямой и косвенный % участия, а также методологию интеграции их активов и обязательств в консолидированном периметре (полная консолидация или пропорциональная консолидация)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Бизнес-модель и стратегия</w:t>
      </w:r>
    </w:p>
    <w:p>
      <w:pPr>
        <w:spacing w:after="240" w:before="200"/>
        <w:jc w:val="center"/>
      </w:pPr>
      <w:r>
        <w:rPr>
          <w:rFonts w:ascii="Arial" w:cs="Arial" w:eastAsia="Arial" w:hAnsi="Arial"/>
          <w:b/>
          <w:bCs/>
          <w:sz w:val="32"/>
          <w:szCs w:val="32"/>
        </w:rPr>
        <w:t xml:space="preserve">(см. параграф 4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Б</w:t>
            </w:r>
            <w:r>
              <w:rPr>
                <w:rFonts w:ascii="Arial" w:cs="Arial" w:eastAsia="Arial" w:hAnsi="Arial"/>
                <w:b/>
                <w:bCs/>
                <w:sz w:val="24"/>
                <w:szCs w:val="24"/>
              </w:rPr>
              <w:t xml:space="preserve">изнес-модель и стратегия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бизнес-модель, указав основные направления деятельности, концентрацию по географическим локациям, дочерние компании и основные продукты, предлагаемые банком, а также основные источники доходов и расходов по основным направлениям деятельности, рынкам и дочерним компаниям. Укажите любые ожидаемые изменения в текущей бизнес-модели, ожидаемую бизнес-среду, бизнес-план и прогнозируемое финансовое состояние на следующий год по основным направлениям деятельности, рынкам и дочерним компаниям. Опишите более подробно, намерен ли банк внести операционные изменения в свой бизнес (например, в ИТ-инфраструктуру). Настоящая глава может быть заполнена путем перекрестной ссылки на бизнес-планы. Банк может включать эту информацию путем перекрестной ссылки на свои текущие бизнес-планы, представляемые в Национальный банк в соответствии со </w:t>
            </w:r>
            <w:hyperlink w:history="1" r:id="rIdtmksh1bgk3p4smebmbqzk">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управления рисками в рамках ВПОДК</w:t>
      </w:r>
    </w:p>
    <w:p>
      <w:pPr>
        <w:spacing w:after="240" w:before="200"/>
        <w:jc w:val="center"/>
      </w:pPr>
      <w:r>
        <w:rPr>
          <w:rFonts w:ascii="Arial" w:cs="Arial" w:eastAsia="Arial" w:hAnsi="Arial"/>
          <w:b/>
          <w:bCs/>
          <w:sz w:val="32"/>
          <w:szCs w:val="32"/>
        </w:rPr>
        <w:t xml:space="preserve">(см. параграф 5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Организационная структура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приложении к настоящему отчету банк предоставляет подробную организационную схему, а также указывает должности, соответствующие обязанности и сферу ответственности членов органов управления банка и правления. Блок-схема системы подотчетности в части управления рисками и ВПОДК приводится в этой части или прилагается к организационной схеме (настоящая глава может быть заполнена путем перекрестных ссылок на другие документы банка, которые уже были представлены в Национальный банк.)]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как был составлен отчет по ВПОДК. Банк перечисляет факторы, которые учитывались при создании ВПОДК. Указывает, как часто применяется ВПОДК. Предоставляет список отчетов, связанных с ВПОДК, и указывает, как часто они составляются и кому представляются. Банк обозначает и объясняет внутренние политики и процедуры, определяющие процедуру подготовки отчета по ВПОДК, включая роли и обязанности, связанные с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Роль совета директоров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роль совета директоров в подготовке, утверждении, мониторинге и рассмотрении ВПОДК. Опишите роль комитетов совета директоров в ВПОДК, особенно Комитета совета по аудиту. Перечислите решения, которые совет директоров принял на основании анализа отчетов, касающихся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Роль правления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[Опишите роль правления в ВПОДК.]</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Стратегия, управление рисками и контроль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наиболее существенные принципы принятия рисков и управления ими, а также перечень внутренних нормативных актов, в которых они предусмотрены. Банк описывает, как часто проводится согласование стратегии управления рисками и бизнес-плана.]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описание стратегии принятия рисков и перечисляет ответственных за реализацию этой стратегии. Банк утверждает риск-аппетит и выражает его в количественной форме, аналогично тому, как лимиты определяются во внутренних нормативных актах банка. Банк перечисляет внутренние акты, определяющие стратегию принятия рисков.]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результаты самооценки адекватности внутренней системы контроля и системы управления рисками.]</w:t>
            </w:r>
          </w:p>
        </w:tc>
      </w:tr>
      <w:tr>
        <w:tc>
          <w:tcPr>
            <w:tcW w:type="dxa" w:w="101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5. Надзор и собственная оценка ВПОДК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описание метода оценки адекватности ВПОДК, осуществляемой внутренним аудитом и другими независимыми контрольными функциями внутри банка, такими как функция контроля рисков и функция комплаенс-мониторинга.]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предоставляет перечень отчетов внутреннего аудита и приводит краткий обзор наиболее существенных выводов, выявленных за период, к которому относится данный отчет. Банк перечисляет меры, которые были предприняты на основании выводов внутреннего аудита.]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как организована самооценка, и кто ее осуществляет, т.е. верификацию и перепроверку отчета по ВПОДК, а также описывает результаты и способ, которым были выполнены или должны быть выполнены корректировка и доработка процедуры.]</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Выявление рисков</w:t>
      </w:r>
    </w:p>
    <w:p>
      <w:pPr>
        <w:spacing w:after="240" w:before="200"/>
        <w:jc w:val="center"/>
      </w:pPr>
      <w:r>
        <w:rPr>
          <w:rFonts w:ascii="Arial" w:cs="Arial" w:eastAsia="Arial" w:hAnsi="Arial"/>
          <w:b/>
          <w:bCs/>
          <w:sz w:val="32"/>
          <w:szCs w:val="32"/>
        </w:rPr>
        <w:t xml:space="preserve">(см. параграф 6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Риски, которым подвергается или может подвергаться банк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перечисляет риски, которым он подвержен, и поясняет, включает ли соответствующий риск также конкретные под-риски.]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описывает способ и темпы выявления рисков и определения их существенности. Банк перечисляет и объясняет факторы, учитываемые в ходе этой процедуры. На первом этапе банку необходимо определить, выявил ли он риск как существенный на основании количественных критериев (например, оценки уровня подверженности, качества подверженности/контрагентов, уровня покрытия риска и т.д.) или на основании качественных критериев (например, репутационный риск, экологический риск и т.д.). На втором этапе банку необходимо детализировать критерии, применяемые для идентификации каждого риска как существенного (качественные или количественные).]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[Банку необходимо привести ясные доводы в пользу того, почему риск не признан существенным.]</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8. Перечень существенных рисков, которым подвергается или может подвергаться банк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3141"/>
        <w:gridCol w:w="4126"/>
      </w:tblGrid>
      <w:tr>
        <w:tc>
          <w:tcPr>
            <w:tcW w:type="dxa" w:w="29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Основная категория риска</w:t>
            </w:r>
          </w:p>
        </w:tc>
        <w:tc>
          <w:tcPr>
            <w:tcW w:type="dxa" w:w="31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 основного риска</w:t>
            </w:r>
          </w:p>
        </w:tc>
        <w:tc>
          <w:tcPr>
            <w:tcW w:type="dxa" w:w="41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Под-риски, включенные в эту категорию</w:t>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Рыночный 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Комплаенс-риск</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 кредитной концентрации </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9. Выявление существенных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1920"/>
        <w:gridCol w:w="1920"/>
        <w:gridCol w:w="1707"/>
        <w:gridCol w:w="1707"/>
      </w:tblGrid>
      <w:tr>
        <w:tc>
          <w:tcPr>
            <w:tcW w:type="dxa" w:w="29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(основной риск существенного под-риска)</w:t>
            </w:r>
          </w:p>
        </w:tc>
        <w:tc>
          <w:tcPr>
            <w:tcW w:type="dxa" w:w="38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34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Подробные сведения</w:t>
            </w:r>
          </w:p>
        </w:tc>
      </w:tr>
      <w:tr>
        <w:tc>
          <w:tcPr>
            <w:vMerge w:val="continue"/>
            <w:tcBorders>
              <w:top w:val="single" w:color="CBBF9E" w:sz="4"/>
              <w:left w:val="single" w:color="CBBF9E" w:sz="4"/>
              <w:bottom w:val="single" w:color="CBBF9E" w:sz="4"/>
              <w:right w:val="single" w:color="CBBF9E" w:sz="4"/>
            </w:tcBorders>
          </w:tcP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Качественный (да/нет)</w:t>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Количественный (да/нет)</w:t>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Качественный</w:t>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Количественный</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10. Несущественные риски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3"/>
        <w:gridCol w:w="7145"/>
      </w:tblGrid>
      <w:tr>
        <w:tc>
          <w:tcPr>
            <w:tcW w:type="dxa" w:w="3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Несущественные риски/под-риски</w:t>
            </w:r>
          </w:p>
        </w:tc>
        <w:tc>
          <w:tcPr>
            <w:tcW w:type="dxa" w:w="7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Объяснение причин, по которым банк считает подверженность этим рискам несущественной</w:t>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Оценка рисков - см. параграф 7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Присущий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каждого существенного риска необходимо указать присвоенную степень присущего риска (1 (низкий), 2 (приемлемый), 3 (существенный) и 4 (высокий)), включив объяснение по этому уровню, и указать, как этот риск рассматривается в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[Укажите, является ли это качественным и/или количественным фактором риска в рамках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[Ожидается, что банк определит, были ли должным образом учтены существенные риски в ходе стресс-тестирования.]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Кредитный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оценке присущего кредитного риска банки должны анализировать связанные с этим риском показатели (например, коэффициент проблемных кредитов, уровень конкретных резервов, темпы роста как проблемных, так и обычных кредитов и т.д.), а также проводить оценку некоторых или всех следующих аспектов: </w:t>
            </w:r>
          </w:p>
          <w:p>
            <w:pPr>
              <w:jc w:val="both"/>
            </w:pPr>
            <w:r>
              <w:rPr>
                <w:rFonts w:ascii="Arial" w:cs="Arial" w:eastAsia="Arial" w:hAnsi="Arial"/>
                <w:sz w:val="24"/>
                <w:szCs w:val="24"/>
              </w:rPr>
              <w:t xml:space="preserve">1) тенденции и качество, состав и уровень связанных с кредитным риском активов и внебалансовых статей банка - выявить характер изменений и их причины; </w:t>
            </w:r>
          </w:p>
          <w:p>
            <w:pPr>
              <w:jc w:val="both"/>
            </w:pPr>
            <w:r>
              <w:rPr>
                <w:rFonts w:ascii="Arial" w:cs="Arial" w:eastAsia="Arial" w:hAnsi="Arial"/>
                <w:sz w:val="24"/>
                <w:szCs w:val="24"/>
              </w:rPr>
              <w:t xml:space="preserve">2) основные изменения между классами активов - определить их причины; </w:t>
            </w:r>
          </w:p>
          <w:p>
            <w:pPr>
              <w:jc w:val="both"/>
            </w:pPr>
            <w:r>
              <w:rPr>
                <w:rFonts w:ascii="Arial" w:cs="Arial" w:eastAsia="Arial" w:hAnsi="Arial"/>
                <w:sz w:val="24"/>
                <w:szCs w:val="24"/>
              </w:rPr>
              <w:t xml:space="preserve">3) классификация и создание резервов по кредитам, долговым ценным бумагам и другим кредитным рискам, с которыми связаны как балансовые, так и внебалансовые статьи; </w:t>
            </w:r>
          </w:p>
          <w:p>
            <w:pPr>
              <w:jc w:val="both"/>
            </w:pPr>
            <w:r>
              <w:rPr>
                <w:rFonts w:ascii="Arial" w:cs="Arial" w:eastAsia="Arial" w:hAnsi="Arial"/>
                <w:sz w:val="24"/>
                <w:szCs w:val="24"/>
              </w:rPr>
              <w:t xml:space="preserve">4) структура активов по срокам погашения - определить, в каком направлении меняется эта структура: в сторону увеличения или сокращения и определить последствия для присущего кредитного риска; </w:t>
            </w:r>
          </w:p>
          <w:p>
            <w:pPr>
              <w:jc w:val="both"/>
            </w:pPr>
            <w:r>
              <w:rPr>
                <w:rFonts w:ascii="Arial" w:cs="Arial" w:eastAsia="Arial" w:hAnsi="Arial"/>
                <w:sz w:val="24"/>
                <w:szCs w:val="24"/>
              </w:rPr>
              <w:t xml:space="preserve">5) темпы роста кредитного портфеля и суб-портфелей, изменения и тенденции уровня и веса в общих активах и кредитном портфеле; </w:t>
            </w:r>
          </w:p>
          <w:p>
            <w:pPr>
              <w:jc w:val="both"/>
            </w:pPr>
            <w:r>
              <w:rPr>
                <w:rFonts w:ascii="Arial" w:cs="Arial" w:eastAsia="Arial" w:hAnsi="Arial"/>
                <w:sz w:val="24"/>
                <w:szCs w:val="24"/>
              </w:rPr>
              <w:t xml:space="preserve">6) структура действующих и проблемных кредитов банка и изменения этой структуры; </w:t>
            </w:r>
          </w:p>
          <w:p>
            <w:pPr>
              <w:jc w:val="both"/>
            </w:pPr>
            <w:r>
              <w:rPr>
                <w:rFonts w:ascii="Arial" w:cs="Arial" w:eastAsia="Arial" w:hAnsi="Arial"/>
                <w:sz w:val="24"/>
                <w:szCs w:val="24"/>
              </w:rPr>
              <w:t xml:space="preserve">7) особенности предоставляемых банком кредитов: например, тип кредитов, являются ли эти кредиты новыми на рынке, срок погашения, процентная ставка, клиентская база (сегмент рынка), валюта, чувствительность (например, результаты стресс-теста банка) и т.д.; </w:t>
            </w:r>
          </w:p>
          <w:p>
            <w:pPr>
              <w:jc w:val="both"/>
            </w:pPr>
            <w:r>
              <w:rPr>
                <w:rFonts w:ascii="Arial" w:cs="Arial" w:eastAsia="Arial" w:hAnsi="Arial"/>
                <w:sz w:val="24"/>
                <w:szCs w:val="24"/>
              </w:rPr>
              <w:t xml:space="preserve">8) текущее состояние и перспективы секторов экономики, в которых банк имеет кредитные позиции, а также общая макроэкономическая и политическая ситуация в стране; общая макроэкономическая и политическая ситуация в основных странах-партнерах; </w:t>
            </w:r>
          </w:p>
          <w:p>
            <w:pPr>
              <w:jc w:val="both"/>
            </w:pPr>
            <w:r>
              <w:rPr>
                <w:rFonts w:ascii="Arial" w:cs="Arial" w:eastAsia="Arial" w:hAnsi="Arial"/>
                <w:sz w:val="24"/>
                <w:szCs w:val="24"/>
              </w:rPr>
              <w:t xml:space="preserve">9) уровень и объем рефинансирования кредитов банка, изменение уровня и объема и причины изменений; </w:t>
            </w:r>
          </w:p>
          <w:p>
            <w:pPr>
              <w:jc w:val="both"/>
            </w:pPr>
            <w:r>
              <w:rPr>
                <w:rFonts w:ascii="Arial" w:cs="Arial" w:eastAsia="Arial" w:hAnsi="Arial"/>
                <w:sz w:val="24"/>
                <w:szCs w:val="24"/>
              </w:rPr>
              <w:t xml:space="preserve">10) уровень и объем кредитования связанных сторон, кредитования работников, изменение уровня и объема и причины изменений; </w:t>
            </w:r>
          </w:p>
          <w:p>
            <w:pPr>
              <w:jc w:val="both"/>
            </w:pPr>
            <w:r>
              <w:rPr>
                <w:rFonts w:ascii="Arial" w:cs="Arial" w:eastAsia="Arial" w:hAnsi="Arial"/>
                <w:sz w:val="24"/>
                <w:szCs w:val="24"/>
              </w:rPr>
              <w:t xml:space="preserve">11) кредитный риск кредитного портфеля, вызванный нестабильностью валютного курса; </w:t>
            </w:r>
          </w:p>
          <w:p>
            <w:pPr>
              <w:jc w:val="both"/>
            </w:pPr>
            <w:r>
              <w:rPr>
                <w:rFonts w:ascii="Arial" w:cs="Arial" w:eastAsia="Arial" w:hAnsi="Arial"/>
                <w:sz w:val="24"/>
                <w:szCs w:val="24"/>
              </w:rPr>
              <w:t xml:space="preserve">12) собственные исторические данные об убытках банка, относящиеся к под-портфелю, исторические данные о проблемных кредитах, коэффициентах возмещения и т.д.; </w:t>
            </w:r>
          </w:p>
          <w:p>
            <w:pPr>
              <w:jc w:val="both"/>
            </w:pPr>
            <w:r>
              <w:rPr>
                <w:rFonts w:ascii="Arial" w:cs="Arial" w:eastAsia="Arial" w:hAnsi="Arial"/>
                <w:sz w:val="24"/>
                <w:szCs w:val="24"/>
              </w:rPr>
              <w:t xml:space="preserve">13) влияние любых потенциальных законодательных, нормативных, бухгалтерских и технологических изменений на профиль риска кредитных под-портфелей банка.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1.2. Операционный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операционного риска банки должны учитывать некоторые из следующих аспектов или все эти аспекты: </w:t>
            </w:r>
          </w:p>
          <w:p>
            <w:pPr>
              <w:jc w:val="both"/>
            </w:pPr>
            <w:r>
              <w:rPr>
                <w:rFonts w:ascii="Arial" w:cs="Arial" w:eastAsia="Arial" w:hAnsi="Arial"/>
                <w:sz w:val="24"/>
                <w:szCs w:val="24"/>
              </w:rPr>
              <w:t xml:space="preserve">1) (исторические) операционные убытки банка по данным НБКР и их основные причины; </w:t>
            </w:r>
          </w:p>
          <w:p>
            <w:pPr>
              <w:jc w:val="both"/>
            </w:pPr>
            <w:r>
              <w:rPr>
                <w:rFonts w:ascii="Arial" w:cs="Arial" w:eastAsia="Arial" w:hAnsi="Arial"/>
                <w:sz w:val="24"/>
                <w:szCs w:val="24"/>
              </w:rPr>
              <w:t xml:space="preserve">2) показатель операционных убытков: как отношение операционных убытков за один год к сумме (годовой валовой доход за три года/3 года); </w:t>
            </w:r>
          </w:p>
          <w:p>
            <w:pPr>
              <w:jc w:val="both"/>
            </w:pPr>
            <w:r>
              <w:rPr>
                <w:rFonts w:ascii="Arial" w:cs="Arial" w:eastAsia="Arial" w:hAnsi="Arial"/>
                <w:sz w:val="24"/>
                <w:szCs w:val="24"/>
              </w:rPr>
              <w:t xml:space="preserve">3) сумма убытков с разбивкой по видам событий и процессов, которым присущ риск (внутреннее мошенничество, внешнее мошенничество, кадровая политика и охрана труда, клиенты, продукты и деловая практика, повреждение материальных активов, нарушение непрерывности бизнеса, системные сбои, управление операциями и процессами), и по направлениям банковской деятельности (банковские услуги для физических лиц, банковские услуги для юридических лиц, платежно-расчетные операции, корпоративные операции, операции с ценными бумагами, агентские услуги, брокерские услуги, консультационные услуги, прочие банковские услуги); </w:t>
            </w:r>
          </w:p>
          <w:p>
            <w:pPr>
              <w:jc w:val="both"/>
            </w:pPr>
            <w:r>
              <w:rPr>
                <w:rFonts w:ascii="Arial" w:cs="Arial" w:eastAsia="Arial" w:hAnsi="Arial"/>
                <w:sz w:val="24"/>
                <w:szCs w:val="24"/>
              </w:rPr>
              <w:t xml:space="preserve">4) степень учета и анализа банком всех событий и убытков, связанных с проявлением операционного убытка; </w:t>
            </w:r>
          </w:p>
          <w:p>
            <w:pPr>
              <w:jc w:val="both"/>
            </w:pPr>
            <w:r>
              <w:rPr>
                <w:rFonts w:ascii="Arial" w:cs="Arial" w:eastAsia="Arial" w:hAnsi="Arial"/>
                <w:sz w:val="24"/>
                <w:szCs w:val="24"/>
              </w:rPr>
              <w:t xml:space="preserve">5) характер и сложность проводимых банком операций; </w:t>
            </w:r>
          </w:p>
          <w:p>
            <w:pPr>
              <w:jc w:val="both"/>
            </w:pPr>
            <w:r>
              <w:rPr>
                <w:rFonts w:ascii="Arial" w:cs="Arial" w:eastAsia="Arial" w:hAnsi="Arial"/>
                <w:sz w:val="24"/>
                <w:szCs w:val="24"/>
              </w:rPr>
              <w:t xml:space="preserve">6) влияние географического положения банка на профиль его операционного риска (например, перебои в подаче электроэнергии, подключении к интернету, преступные действия, землетрясения и т.д.); 7) новизна продуктов и их сложность.</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1.3. Риск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банку риска процентной ставки в банковском портфеле банк должен анализировать соответствующие показатели (например, чистую процентную маржу и т.д.) и проводить оценку некоторых или всех перечисленных аспектов: </w:t>
            </w:r>
          </w:p>
          <w:p>
            <w:pPr>
              <w:jc w:val="both"/>
            </w:pPr>
            <w:r>
              <w:rPr>
                <w:rFonts w:ascii="Arial" w:cs="Arial" w:eastAsia="Arial" w:hAnsi="Arial"/>
                <w:sz w:val="24"/>
                <w:szCs w:val="24"/>
              </w:rPr>
              <w:t xml:space="preserve">Структура баланса банка, внебалансовая деятельность и тенденции в составе его баланса для выявления основных источников риска процентной ставки в банковском портфеле и оценки его влияния на капитал и прибыль банка, которая включает: </w:t>
            </w:r>
          </w:p>
          <w:p>
            <w:pPr>
              <w:jc w:val="both"/>
            </w:pPr>
            <w:r>
              <w:rPr>
                <w:rFonts w:ascii="Arial" w:cs="Arial" w:eastAsia="Arial" w:hAnsi="Arial"/>
                <w:sz w:val="24"/>
                <w:szCs w:val="24"/>
              </w:rPr>
              <w:t xml:space="preserve">- чистую процентную маржу в целом и с разбивкой по инструментам; </w:t>
            </w:r>
          </w:p>
          <w:p>
            <w:pPr>
              <w:jc w:val="both"/>
            </w:pPr>
            <w:r>
              <w:rPr>
                <w:rFonts w:ascii="Arial" w:cs="Arial" w:eastAsia="Arial" w:hAnsi="Arial"/>
                <w:sz w:val="24"/>
                <w:szCs w:val="24"/>
              </w:rPr>
              <w:t xml:space="preserve">- сроки погашения и структуру переоценки кредитов, инвестиций, обязательств и внебалансовых статей банка; динамику профиля риска процентной ставки в банковском портфеле банка; </w:t>
            </w:r>
          </w:p>
          <w:p>
            <w:pPr>
              <w:jc w:val="both"/>
            </w:pPr>
            <w:r>
              <w:rPr>
                <w:rFonts w:ascii="Arial" w:cs="Arial" w:eastAsia="Arial" w:hAnsi="Arial"/>
                <w:sz w:val="24"/>
                <w:szCs w:val="24"/>
              </w:rPr>
              <w:t xml:space="preserve">- долю балансовых активов и забалансовых обязательств, чувствительных к изменению процентных ставок; </w:t>
            </w:r>
          </w:p>
          <w:p>
            <w:pPr>
              <w:jc w:val="both"/>
            </w:pPr>
            <w:r>
              <w:rPr>
                <w:rFonts w:ascii="Arial" w:cs="Arial" w:eastAsia="Arial" w:hAnsi="Arial"/>
                <w:sz w:val="24"/>
                <w:szCs w:val="24"/>
              </w:rPr>
              <w:t xml:space="preserve">- есть ли у банка значительные запасы продуктов с явными или встроенными опциями: варианты досрочного погашения, ограничения или минимальные уровни или продукты - ставки, которые будут значительно отставать от рыночных процентных ставок; </w:t>
            </w:r>
          </w:p>
          <w:p>
            <w:pPr>
              <w:jc w:val="both"/>
            </w:pPr>
            <w:r>
              <w:rPr>
                <w:rFonts w:ascii="Arial" w:cs="Arial" w:eastAsia="Arial" w:hAnsi="Arial"/>
                <w:sz w:val="24"/>
                <w:szCs w:val="24"/>
              </w:rPr>
              <w:t xml:space="preserve">- различные индексы, используемые банком для оценки своих продуктов с переменной ставкой (например, прайм, Libor, Treasury), а также уровень или набор продуктов, привязанных к этим индексам; </w:t>
            </w:r>
          </w:p>
          <w:p>
            <w:pPr>
              <w:jc w:val="both"/>
            </w:pPr>
            <w:r>
              <w:rPr>
                <w:rFonts w:ascii="Arial" w:cs="Arial" w:eastAsia="Arial" w:hAnsi="Arial"/>
                <w:sz w:val="24"/>
                <w:szCs w:val="24"/>
              </w:rPr>
              <w:t xml:space="preserve">- использование и характер производных продуктов; </w:t>
            </w:r>
          </w:p>
          <w:p>
            <w:pPr>
              <w:jc w:val="both"/>
            </w:pPr>
            <w:r>
              <w:rPr>
                <w:rFonts w:ascii="Arial" w:cs="Arial" w:eastAsia="Arial" w:hAnsi="Arial"/>
                <w:sz w:val="24"/>
                <w:szCs w:val="24"/>
              </w:rPr>
              <w:t xml:space="preserve">- прочие забалансовые статьи (например, аккредитивы, обязательства по предоставлению кредитов); </w:t>
            </w:r>
          </w:p>
          <w:p>
            <w:pPr>
              <w:jc w:val="both"/>
            </w:pPr>
            <w:r>
              <w:rPr>
                <w:rFonts w:ascii="Arial" w:cs="Arial" w:eastAsia="Arial" w:hAnsi="Arial"/>
                <w:sz w:val="24"/>
                <w:szCs w:val="24"/>
              </w:rPr>
              <w:t xml:space="preserve">- динамика непроцентных доходов; </w:t>
            </w:r>
          </w:p>
          <w:p>
            <w:pPr>
              <w:jc w:val="both"/>
            </w:pPr>
            <w:r>
              <w:rPr>
                <w:rFonts w:ascii="Arial" w:cs="Arial" w:eastAsia="Arial" w:hAnsi="Arial"/>
                <w:sz w:val="24"/>
                <w:szCs w:val="24"/>
              </w:rPr>
              <w:t xml:space="preserve">- динамика стоимости источников финансирования; </w:t>
            </w:r>
          </w:p>
          <w:p>
            <w:pPr>
              <w:jc w:val="both"/>
            </w:pPr>
            <w:r>
              <w:rPr>
                <w:rFonts w:ascii="Arial" w:cs="Arial" w:eastAsia="Arial" w:hAnsi="Arial"/>
                <w:sz w:val="24"/>
                <w:szCs w:val="24"/>
              </w:rPr>
              <w:t xml:space="preserve">- скорость изменения процентной ставки по активам по сравнению со скоростью изменения стоимости обязательств; </w:t>
            </w:r>
          </w:p>
          <w:p>
            <w:pPr>
              <w:jc w:val="both"/>
            </w:pPr>
            <w:r>
              <w:rPr>
                <w:rFonts w:ascii="Arial" w:cs="Arial" w:eastAsia="Arial" w:hAnsi="Arial"/>
                <w:sz w:val="24"/>
                <w:szCs w:val="24"/>
              </w:rPr>
              <w:t xml:space="preserve">- влияние изменения процентных ставок на погашение активов и снятие обязательств; </w:t>
            </w:r>
          </w:p>
          <w:p>
            <w:pPr>
              <w:jc w:val="both"/>
            </w:pPr>
            <w:r>
              <w:rPr>
                <w:rFonts w:ascii="Arial" w:cs="Arial" w:eastAsia="Arial" w:hAnsi="Arial"/>
                <w:sz w:val="24"/>
                <w:szCs w:val="24"/>
              </w:rPr>
              <w:t xml:space="preserve">- реализация планов по увеличению непроцентных доходов.</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Риск кредитной концентрации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присущего банку риска кредитной концентрации банк должен анализировать соответствующие показатели (например, концентрацию в основных контрагентах по отношению к общей сумме риска, концентрацию кредитов [индекс Херфиндаля] и т.д.), и проводить оценку некоторых следующих параметров или всех перечисленных аспектов: </w:t>
            </w:r>
          </w:p>
          <w:p>
            <w:pPr>
              <w:jc w:val="both"/>
            </w:pPr>
            <w:r>
              <w:rPr>
                <w:rFonts w:ascii="Arial" w:cs="Arial" w:eastAsia="Arial" w:hAnsi="Arial"/>
                <w:sz w:val="24"/>
                <w:szCs w:val="24"/>
              </w:rPr>
              <w:t xml:space="preserve">1) концентрация активов и внебалансовых статей по типам (например, денежные средства, кредиты, материальные активы, нематериальные активы, ценные бумаги, производные инструменты и т.д.), определение причин такой концентрации и ее возможных последствий; </w:t>
            </w:r>
          </w:p>
          <w:p>
            <w:pPr>
              <w:jc w:val="both"/>
            </w:pPr>
            <w:r>
              <w:rPr>
                <w:rFonts w:ascii="Arial" w:cs="Arial" w:eastAsia="Arial" w:hAnsi="Arial"/>
                <w:sz w:val="24"/>
                <w:szCs w:val="24"/>
              </w:rPr>
              <w:t xml:space="preserve">2) степень концентрации в кредитном портфеле банка с точки зрения географии, экономического сектора, типа кредита, залога, заемщика и т.д. - определить причины такой концентрации и ее изменений, возможные проблемы и риски.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11. Рассмотрение существенных рисков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7"/>
        <w:gridCol w:w="1448"/>
        <w:gridCol w:w="1816"/>
        <w:gridCol w:w="1816"/>
        <w:gridCol w:w="2221"/>
      </w:tblGrid>
      <w:tr>
        <w:tc>
          <w:tcPr>
            <w:tcW w:type="dxa" w:w="28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Существенный риск (основной риск существенного под-риска)</w:t>
            </w:r>
          </w:p>
        </w:tc>
        <w:tc>
          <w:tcPr>
            <w:tcW w:type="dxa" w:w="14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Присущий риск (1-4)</w:t>
            </w:r>
          </w:p>
        </w:tc>
        <w:tc>
          <w:tcPr>
            <w:tcW w:type="dxa" w:w="36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требования к капиталу (да/нет)</w:t>
            </w:r>
          </w:p>
        </w:tc>
        <w:tc>
          <w:tcPr>
            <w:tcW w:type="dxa" w:w="2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Включено в стресс-тестирование (да/нет)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Качественные </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Количественные </w:t>
            </w:r>
          </w:p>
        </w:tc>
        <w:tc>
          <w:tcPr>
            <w:vMerge w:val="continue"/>
            <w:tcBorders>
              <w:top w:val="single" w:color="CBBF9E" w:sz="4"/>
              <w:left w:val="none" w:color="auto" w:sz="0"/>
              <w:bottom w:val="single" w:color="CBBF9E" w:sz="4"/>
              <w:right w:val="single" w:color="CBBF9E" w:sz="4"/>
            </w:tcBorders>
          </w:tcP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КУК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каждого существенного риска укажите присвоенный ему класс КУК (1 (сильный), 2 (адекватный), 3 (неадекватный) и 4 (слабый)), предоставив пояснения по выбранному классу]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2.1. Кредитный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кредитного риска банки должны включать в оценку свои стандартные кредиты, а также различные портфели, в которых они работают (например, сельскохозяйственное кредитование, карточное кредитование, кредитование связанных сторон и т.д.), и включать в оценку некоторые или все следующее аспекты: </w:t>
            </w:r>
          </w:p>
          <w:p>
            <w:pPr>
              <w:jc w:val="both"/>
            </w:pPr>
            <w:r>
              <w:rPr>
                <w:rFonts w:ascii="Arial" w:cs="Arial" w:eastAsia="Arial" w:hAnsi="Arial"/>
                <w:sz w:val="24"/>
                <w:szCs w:val="24"/>
              </w:rPr>
              <w:t xml:space="preserve">1. Стратегии и политики, включая: </w:t>
            </w:r>
          </w:p>
          <w:p>
            <w:pPr>
              <w:jc w:val="both"/>
            </w:pPr>
            <w:r>
              <w:rPr>
                <w:rFonts w:ascii="Arial" w:cs="Arial" w:eastAsia="Arial" w:hAnsi="Arial"/>
                <w:sz w:val="24"/>
                <w:szCs w:val="24"/>
              </w:rPr>
              <w:t xml:space="preserve">- кредитная стратегия; </w:t>
            </w:r>
          </w:p>
          <w:p>
            <w:pPr>
              <w:jc w:val="both"/>
            </w:pPr>
            <w:r>
              <w:rPr>
                <w:rFonts w:ascii="Arial" w:cs="Arial" w:eastAsia="Arial" w:hAnsi="Arial"/>
                <w:sz w:val="24"/>
                <w:szCs w:val="24"/>
              </w:rPr>
              <w:t xml:space="preserve">- процесс планирования стратегии; </w:t>
            </w:r>
          </w:p>
          <w:p>
            <w:pPr>
              <w:jc w:val="both"/>
            </w:pPr>
            <w:r>
              <w:rPr>
                <w:rFonts w:ascii="Arial" w:cs="Arial" w:eastAsia="Arial" w:hAnsi="Arial"/>
                <w:sz w:val="24"/>
                <w:szCs w:val="24"/>
              </w:rPr>
              <w:t xml:space="preserve">- кредитная политика; </w:t>
            </w:r>
          </w:p>
          <w:p>
            <w:pPr>
              <w:jc w:val="both"/>
            </w:pPr>
            <w:r>
              <w:rPr>
                <w:rFonts w:ascii="Arial" w:cs="Arial" w:eastAsia="Arial" w:hAnsi="Arial"/>
                <w:sz w:val="24"/>
                <w:szCs w:val="24"/>
              </w:rPr>
              <w:t xml:space="preserve">- лимиты риска/кредита; </w:t>
            </w:r>
          </w:p>
          <w:p>
            <w:pPr>
              <w:jc w:val="both"/>
            </w:pPr>
            <w:r>
              <w:rPr>
                <w:rFonts w:ascii="Arial" w:cs="Arial" w:eastAsia="Arial" w:hAnsi="Arial"/>
                <w:sz w:val="24"/>
                <w:szCs w:val="24"/>
              </w:rPr>
              <w:t xml:space="preserve">- порядок подчинения и ответственности; </w:t>
            </w:r>
          </w:p>
          <w:p>
            <w:pPr>
              <w:jc w:val="both"/>
            </w:pPr>
            <w:r>
              <w:rPr>
                <w:rFonts w:ascii="Arial" w:cs="Arial" w:eastAsia="Arial" w:hAnsi="Arial"/>
                <w:sz w:val="24"/>
                <w:szCs w:val="24"/>
              </w:rPr>
              <w:t xml:space="preserve">- контроль со стороны правления и руководства.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w:t>
            </w:r>
          </w:p>
          <w:p>
            <w:pPr>
              <w:jc w:val="both"/>
            </w:pPr>
            <w:r>
              <w:rPr>
                <w:rFonts w:ascii="Arial" w:cs="Arial" w:eastAsia="Arial" w:hAnsi="Arial"/>
                <w:sz w:val="24"/>
                <w:szCs w:val="24"/>
              </w:rPr>
              <w:t xml:space="preserve">- предоставление кредита; </w:t>
            </w:r>
          </w:p>
          <w:p>
            <w:pPr>
              <w:jc w:val="both"/>
            </w:pPr>
            <w:r>
              <w:rPr>
                <w:rFonts w:ascii="Arial" w:cs="Arial" w:eastAsia="Arial" w:hAnsi="Arial"/>
                <w:sz w:val="24"/>
                <w:szCs w:val="24"/>
              </w:rPr>
              <w:t xml:space="preserve">- кредитное администрирование и мониторинг; </w:t>
            </w:r>
          </w:p>
          <w:p>
            <w:pPr>
              <w:jc w:val="both"/>
            </w:pPr>
            <w:r>
              <w:rPr>
                <w:rFonts w:ascii="Arial" w:cs="Arial" w:eastAsia="Arial" w:hAnsi="Arial"/>
                <w:sz w:val="24"/>
                <w:szCs w:val="24"/>
              </w:rPr>
              <w:t xml:space="preserve">- управление проблемными кредитами; </w:t>
            </w:r>
          </w:p>
          <w:p>
            <w:pPr>
              <w:jc w:val="both"/>
            </w:pPr>
            <w:r>
              <w:rPr>
                <w:rFonts w:ascii="Arial" w:cs="Arial" w:eastAsia="Arial" w:hAnsi="Arial"/>
                <w:sz w:val="24"/>
                <w:szCs w:val="24"/>
              </w:rPr>
              <w:t xml:space="preserve">- адекватность классификации и обеспечения. </w:t>
            </w:r>
          </w:p>
          <w:p>
            <w:pPr>
              <w:jc w:val="both"/>
            </w:pPr>
            <w:r>
              <w:rPr>
                <w:rFonts w:ascii="Arial" w:cs="Arial" w:eastAsia="Arial" w:hAnsi="Arial"/>
                <w:sz w:val="24"/>
                <w:szCs w:val="24"/>
              </w:rPr>
              <w:t xml:space="preserve">3. Механизмы контроля, включая: </w:t>
            </w:r>
          </w:p>
          <w:p>
            <w:pPr>
              <w:jc w:val="both"/>
            </w:pPr>
            <w:r>
              <w:rPr>
                <w:rFonts w:ascii="Arial" w:cs="Arial" w:eastAsia="Arial" w:hAnsi="Arial"/>
                <w:sz w:val="24"/>
                <w:szCs w:val="24"/>
              </w:rPr>
              <w:t xml:space="preserve">- информационные системы управления (ИСУ); </w:t>
            </w:r>
          </w:p>
          <w:p>
            <w:pPr>
              <w:jc w:val="both"/>
            </w:pPr>
            <w:r>
              <w:rPr>
                <w:rFonts w:ascii="Arial" w:cs="Arial" w:eastAsia="Arial" w:hAnsi="Arial"/>
                <w:sz w:val="24"/>
                <w:szCs w:val="24"/>
              </w:rPr>
              <w:t xml:space="preserve">- внутренний контроль и проверки; </w:t>
            </w:r>
          </w:p>
          <w:p>
            <w:pPr>
              <w:jc w:val="both"/>
            </w:pPr>
            <w:r>
              <w:rPr>
                <w:rFonts w:ascii="Arial" w:cs="Arial" w:eastAsia="Arial" w:hAnsi="Arial"/>
                <w:sz w:val="24"/>
                <w:szCs w:val="24"/>
              </w:rPr>
              <w:t xml:space="preserve">- внутренний аудит. </w:t>
            </w:r>
          </w:p>
          <w:p>
            <w:pPr>
              <w:jc w:val="both"/>
            </w:pPr>
            <w:r>
              <w:rPr>
                <w:rFonts w:ascii="Arial" w:cs="Arial" w:eastAsia="Arial" w:hAnsi="Arial"/>
                <w:sz w:val="24"/>
                <w:szCs w:val="24"/>
              </w:rPr>
              <w:t xml:space="preserve">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 Кроме того, необходимо оценить, насколько программы оплаты труда интегрированы с управлением кредитным риском.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2.2. Операционный риск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операционного риска банки должны включать в свою оценку некоторые или все из следующих аспектов: </w:t>
            </w:r>
          </w:p>
          <w:p>
            <w:pPr>
              <w:jc w:val="both"/>
            </w:pPr>
            <w:r>
              <w:rPr>
                <w:rFonts w:ascii="Arial" w:cs="Arial" w:eastAsia="Arial" w:hAnsi="Arial"/>
                <w:sz w:val="24"/>
                <w:szCs w:val="24"/>
              </w:rPr>
              <w:t xml:space="preserve">1. Стратегия, понимаемая как план, четко определяющий, как банк собирается достигать своих целей с точки зрения ресурсов и технологий. Политики представляют собой заявления о действиях, предпринимаемых банком для достижения определенных целей. Политика часто устанавливает стандарт (например, в отношении допустимого риска) и должна соответствовать основной миссии, цели и стратегии банка.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w:t>
            </w:r>
          </w:p>
          <w:p>
            <w:pPr>
              <w:jc w:val="both"/>
            </w:pPr>
            <w:r>
              <w:rPr>
                <w:rFonts w:ascii="Arial" w:cs="Arial" w:eastAsia="Arial" w:hAnsi="Arial"/>
                <w:sz w:val="24"/>
                <w:szCs w:val="24"/>
              </w:rPr>
              <w:t xml:space="preserve">3. Механизмы контроля: функции (внутренний и внешний аудит, анализ рисков и обеспечение качества) и информационные системы, которые руководство банка использует для измерения производительности, для принятия решений в отношении рисков и для оценки эффективности процессов. Функции контроля должны предусматривать четкий порядок подчиненности, иметь адекватные ресурсы и соответствующие полномочия. </w:t>
            </w:r>
          </w:p>
          <w:p>
            <w:pPr>
              <w:jc w:val="both"/>
            </w:pPr>
            <w:r>
              <w:rPr>
                <w:rFonts w:ascii="Arial" w:cs="Arial" w:eastAsia="Arial" w:hAnsi="Arial"/>
                <w:sz w:val="24"/>
                <w:szCs w:val="24"/>
              </w:rPr>
              <w:t xml:space="preserve">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2.3. Риск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качества управления и контроля риска процентной ставки в банковском портфеле банки должны включать в свою оценку некоторые или все из следующих аспектов: </w:t>
            </w:r>
          </w:p>
          <w:p>
            <w:pPr>
              <w:jc w:val="both"/>
            </w:pPr>
            <w:r>
              <w:rPr>
                <w:rFonts w:ascii="Arial" w:cs="Arial" w:eastAsia="Arial" w:hAnsi="Arial"/>
                <w:sz w:val="24"/>
                <w:szCs w:val="24"/>
              </w:rPr>
              <w:t xml:space="preserve">1. Стратегии и политики, включая: </w:t>
            </w:r>
          </w:p>
          <w:p>
            <w:pPr>
              <w:jc w:val="both"/>
            </w:pPr>
            <w:r>
              <w:rPr>
                <w:rFonts w:ascii="Arial" w:cs="Arial" w:eastAsia="Arial" w:hAnsi="Arial"/>
                <w:sz w:val="24"/>
                <w:szCs w:val="24"/>
              </w:rPr>
              <w:t xml:space="preserve">- стратегию риска; </w:t>
            </w:r>
          </w:p>
          <w:p>
            <w:pPr>
              <w:jc w:val="both"/>
            </w:pPr>
            <w:r>
              <w:rPr>
                <w:rFonts w:ascii="Arial" w:cs="Arial" w:eastAsia="Arial" w:hAnsi="Arial"/>
                <w:sz w:val="24"/>
                <w:szCs w:val="24"/>
              </w:rPr>
              <w:t xml:space="preserve">- процесс планирования стратегии; </w:t>
            </w:r>
          </w:p>
          <w:p>
            <w:pPr>
              <w:jc w:val="both"/>
            </w:pPr>
            <w:r>
              <w:rPr>
                <w:rFonts w:ascii="Arial" w:cs="Arial" w:eastAsia="Arial" w:hAnsi="Arial"/>
                <w:sz w:val="24"/>
                <w:szCs w:val="24"/>
              </w:rPr>
              <w:t xml:space="preserve">- лимиты по рискам; </w:t>
            </w:r>
          </w:p>
          <w:p>
            <w:pPr>
              <w:jc w:val="both"/>
            </w:pPr>
            <w:r>
              <w:rPr>
                <w:rFonts w:ascii="Arial" w:cs="Arial" w:eastAsia="Arial" w:hAnsi="Arial"/>
                <w:sz w:val="24"/>
                <w:szCs w:val="24"/>
              </w:rPr>
              <w:t xml:space="preserve">- процесс управления рисками; </w:t>
            </w:r>
          </w:p>
          <w:p>
            <w:pPr>
              <w:jc w:val="both"/>
            </w:pPr>
            <w:r>
              <w:rPr>
                <w:rFonts w:ascii="Arial" w:cs="Arial" w:eastAsia="Arial" w:hAnsi="Arial"/>
                <w:sz w:val="24"/>
                <w:szCs w:val="24"/>
              </w:rPr>
              <w:t xml:space="preserve">- роли и обязанности; </w:t>
            </w:r>
          </w:p>
          <w:p>
            <w:pPr>
              <w:jc w:val="both"/>
            </w:pPr>
            <w:r>
              <w:rPr>
                <w:rFonts w:ascii="Arial" w:cs="Arial" w:eastAsia="Arial" w:hAnsi="Arial"/>
                <w:sz w:val="24"/>
                <w:szCs w:val="24"/>
              </w:rPr>
              <w:t xml:space="preserve">- контроль со стороны правления банка. </w:t>
            </w:r>
          </w:p>
          <w:p>
            <w:pPr>
              <w:jc w:val="both"/>
            </w:pPr>
            <w:r>
              <w:rPr>
                <w:rFonts w:ascii="Arial" w:cs="Arial" w:eastAsia="Arial" w:hAnsi="Arial"/>
                <w:sz w:val="24"/>
                <w:szCs w:val="24"/>
              </w:rPr>
              <w:t xml:space="preserve">2. Процессы и процедуры: программы и практики, которые упорядочивают достижение банком своих целей. Процессы определяют, как выполняются повседневные действия. Эффективные процессы соответствуют основополагающим политикам и регулируются соответствующими системами сдержек и противовесов (такими как внутренний контроль): - общие аспекты; - процесс управления рисками; - лимиты по рискам. 3. Механизмы контроля, включая: - информационные системы управления (ИСУ); - внутренний контроль; - внутренний аудит. 4. Персонал, который выполняет или контролирует процессы: сотрудники и руководство банка. Оценивается, насколько сотрудники квалифицированы и компетентны, насколько они понимают миссию, стратегию, политику и процессы банка. Кроме того, необходимо оценить, насколько программы оплаты труда интегрированы с управлением риском процентной ставки в банковском портфеле.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2.4. Риск кредитной концентрации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оценке КУК кредитной концентрации банки должны включать в свою оценку ранее разработанную оценку кредитного риска, основное внимание в рамках которой уделяется привязке к управлению риском кредитной концентрации.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12. Существенные риски в рамках ВПОДК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92"/>
        <w:gridCol w:w="3186"/>
      </w:tblGrid>
      <w:tr>
        <w:tc>
          <w:tcPr>
            <w:tcW w:type="dxa" w:w="69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Существенные риски (основные риски существенного под-риска)</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(1-4)</w:t>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Чистый риск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[Ожидается, что банк определит свой чистый риск. Ожидается, что чистый риск представляет собой сочетание присущего банку риска и КУК и его значимых рисков]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[Помимо статической оценки, определяется ее «тенденция» на обозримое будущее. Таким образом, ожидается, что банк предоставит свое заключение о текущей и прогнозируемой тенденции риска]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13. Самооценка банком собственного чистого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3"/>
        <w:gridCol w:w="1454"/>
        <w:gridCol w:w="2073"/>
        <w:gridCol w:w="1553"/>
        <w:gridCol w:w="1325"/>
      </w:tblGrid>
      <w:tr>
        <w:tc>
          <w:tcPr>
            <w:tcW w:type="dxa" w:w="3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Существенные риски (основные риски существенного под-риска)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 (1-4)</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КУК существенного риска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риск</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Тенденция</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риск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Растет</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Недостаточное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Стабильный</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Приемлемый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Снижается</w:t>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Низкое</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чистый риск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Риск-аппетит</w:t>
      </w:r>
    </w:p>
    <w:p>
      <w:pPr>
        <w:spacing w:after="240" w:before="200"/>
        <w:jc w:val="center"/>
      </w:pPr>
      <w:r>
        <w:rPr>
          <w:rFonts w:ascii="Arial" w:cs="Arial" w:eastAsia="Arial" w:hAnsi="Arial"/>
          <w:b/>
          <w:bCs/>
          <w:sz w:val="32"/>
          <w:szCs w:val="32"/>
        </w:rPr>
        <w:t xml:space="preserve">(см. параграф 8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Принятие риска и риск-аппетит</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[Опишите целевые показатели по капиталу и то, как внутренний документ об уровне риск-аппетита связан с бизнес-планом, планированием капитала, управлением рисками и т.д.]</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уровня риск-аппетита и лимитов, установленных для выявленных существенных рисков, а также временных горизонтов и процесса, применяемого для поддержания таких лимитов в актуальном состоянии.]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может включать эту информацию путем перекрестной ссылки либо на свои текущие бизнес-планы, представляемые в Национальный банк в соответствии со </w:t>
            </w:r>
            <w:hyperlink w:history="1" r:id="rIdthbh-oxr15mqoazue3fgq">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о банках, либо на свой внутренний документ об уровне риск-аппетита.]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14. Внутренний документ о показателях уровня риск-аппетита и целевых показателях по капиталу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359"/>
        <w:gridCol w:w="4153"/>
        <w:gridCol w:w="1181"/>
      </w:tblGrid>
      <w:tr>
        <w:tc>
          <w:tcPr>
            <w:tcW w:type="dxa" w:w="24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Коэффициенты</w:t>
            </w:r>
          </w:p>
        </w:tc>
        <w:tc>
          <w:tcPr>
            <w:tcW w:type="dxa" w:w="23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Целевое значение - %</w:t>
            </w:r>
          </w:p>
        </w:tc>
        <w:tc>
          <w:tcPr>
            <w:tcW w:type="dxa" w:w="4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раннего предупреждения - %</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Лимит - %</w:t>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капитал</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Внутренние требования к капиталу</w:t>
      </w:r>
    </w:p>
    <w:p>
      <w:pPr>
        <w:spacing w:after="240" w:before="200"/>
        <w:jc w:val="center"/>
      </w:pPr>
      <w:r>
        <w:rPr>
          <w:rFonts w:ascii="Arial" w:cs="Arial" w:eastAsia="Arial" w:hAnsi="Arial"/>
          <w:b/>
          <w:bCs/>
          <w:sz w:val="32"/>
          <w:szCs w:val="32"/>
        </w:rPr>
        <w:t xml:space="preserve">(см. параграф 9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Принятие риска и риск-аппетит</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банки определят свои внутренние требования к капиталу по рискам в соответствии с Инструкцией по достаточности капитала (кредитный и операционный риски), а также по тем существенным рискам, которые не предусмотрены Инструкцией по достаточности капитала (например, риск кредитной концентрации, риск процентной ставки в банковском портфеле, комплаенс-риск и др.).]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тем рискам, которые не предусмотрены Инструкцией по достаточности капитала, ожидается, что банк должен либо использовать подход, описанный в Инструкции по достаточности капитала, при этом дополняя соответствующими рисками или использовать собственный управленческий подход, когда банк подтверждает, что использует этот подход во внутреннем управлении своим капиталом (т.е. распределение капитала, ценообразование, андеррайтинг кредитного риска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части рисков, в отношении которых в соответствии с Инструкцией по достаточности капитала требований не предъявляется, ожидается, что банк как минимум должен оценить и распределить капитал с учетом риска кредитной концентрации. Банк должен покрывать как минимум индивидуальный риск и риск отраслевой концентрации; оценить свою подверженность риску процентной ставки в банковском портфеле и выделить капитал для покрытия этих рисков, а также оценить свою подверженность бизнес-риску, рыночному риску и комплаенс-риску. Если банк не в состоянии количественно оценить свой внутренний капитал для покрытия других существенных рисков, то он должен выделить от 5 до 15% применимых требований к капиталу, рассчитанных в соответствии с Инструкцией по достаточности капитала.]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не должен рассматривать какие-либо выгоды от суммы диверсификации между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обеспечит четкое сопоставление между выявленными им существенными рисками, оценкой этих рисков и внутренним капиталом, который был выделен на них.]</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9.1. Внутренний капитал с разбивкой по рискам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Методология оценки внутренних тре</w:t>
            </w:r>
            <w:r>
              <w:rPr>
                <w:rFonts w:ascii="Arial" w:cs="Arial" w:eastAsia="Arial" w:hAnsi="Arial"/>
                <w:b/>
                <w:bCs/>
                <w:sz w:val="24"/>
                <w:szCs w:val="24"/>
              </w:rPr>
              <w:t xml:space="preserve">бований к капиталу для покрытия кредитного риска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кредитному риску</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Инструкцию по достаточности капитала для расчета требований к капиталу по кредитному риску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причины, по которым он решил использовать для расчета внутренних требований к капиталу подход, который уже использует для расчета минимальных требований к капиталу по кредитному риску в соответствии с Инструкцией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[Если применимо, банк объясняет потенциальную недооценку кредитного риска из-за применения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скорректировал подход в рамках Инструкции по достаточности капитала для расчета требований к капиталу для покрытия кредитного риска или использует собственные подходы.</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 В случае использования скорректированного подхода к Инструкции по достаточности капитала для расчета внутренних требований к капиталу акцент делается на описании различий по сравнению с подходом, предписанным в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разъясняет анализ подверженности банка рискам, которые связаны с кредитным риском (например, остаточный риск, страновой риск и т.д.), и, если применимо, отдельно указывает соответствующую сумму внутреннего капитала, необходимую для покрытия каждого из рисков, которые включены в общую сумму внутреннего капитала, необходимого для покрытия кредитного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подробно перечисляет внутренние политики, которые предписывают методологию оценки внутренних требований к капиталу для покрытия кредитного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[Когда банк использует этот подход, ожидается, что банк предоставит четкое и достаточное объяснение того, как он использует этот подход в управлении внутренними рисками и капиталом (т.е. распределение капитала, ценообразование, андеррайтинг кредитного риска, прибыльность с поправкой на риск и др.).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кредитного риска в ВПОДК.]</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Методология оценки внутренних требований к капиталу для покрытия операционного риска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операционного риска</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подход к расчету требований к капиталу для покрытия операционного риска, изложенный в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указывает причины, по которым он решил рассчитать внутренние требования к капиталу, используя подход, который он уже использует для расчета минимальных требований к капиталу для покрытия операционного риска в соответствии с положениями Инструкции по достаточности капитала.]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[Если применимо, банк объясняет оценку потенциальной недооценки операционного риска из-за применения регулятивного подхода и подробно описывает их влияние на оцененные внутренние требования к капиталу для покрытия операционного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скорректировал подход к расчету требований к капиталу для покрытия операционного риска или использует собственный подход</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 В случае использования скорректированного подхода по сравнению с Инструкцией по достаточности капитала акцент делается на описании различий между ними.]</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подробно описана методология оценки внутренних требований к капиталу для покрытия операционного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[Когда банк использует этот подход, ожидается, что банк предоставит четкое и достаточное объяснение того, как банк использует этот подход в своем внутреннем управлении рисками и капиталом (модели ценообразования, распределение капитала, практика вознаграждения и т.д.).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операционного риска в рамках ВПОДК.]</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 Методология оценки внутренних требований к капиталу для покрытия рыночного риска</w:t>
            </w:r>
          </w:p>
        </w:tc>
      </w:tr>
      <w:tr>
        <w:tc>
          <w:tcPr>
            <w:tcW w:type="dxa" w:w="678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рыночного риска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подход, который он использует, и объясняет причины выбора этого подхода.]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основывается методология расчета внутренних требований к капиталу, включая, среди прочего, валютный риск.]</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также может определить внутренние требования к капиталу для других существенных рисков (общий и специфический фондовый риск, общий и специфический риск долговых инструментов, товарный риск и т.д.)]</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подробно описана методология оценки внутренних требований к капиталу для покрытия рыночного риска.]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предоставит четкое и достаточное объяснение того, как банк использует этот подход в своем внутреннем управлении рисками и капиталом (установление лимитов, распределение капитала между различными торговыми операциями, практика вознаграждения и т.д.). Совет директоров и правление банка должны подтвердить достаточное понимание методологий, используемых при расчете внутренних требований к капиталу для покрытия рыночного риска в рамках ВПОДК.]</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 Методология оценки внутренних требований к капиталу для покрытия риска процентной ставки в банковском портфеле</w:t>
            </w:r>
          </w:p>
        </w:tc>
      </w:tr>
      <w:tr>
        <w:tc>
          <w:tcPr>
            <w:tcW w:type="dxa" w:w="84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риска процентной ставки в банковском портфеле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подробно прописывающие методику оценки внутренних требований к капиталу для покрытия риска процентной ставки в банковском портфеле.]</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5. Методология оценки внутренних требований к капиталу для покрытия комплаенс-риска</w:t>
            </w:r>
          </w:p>
        </w:tc>
      </w:tr>
      <w:tr>
        <w:tc>
          <w:tcPr>
            <w:tcW w:type="dxa" w:w="84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комплаенс-риска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подробно прописывающие методику оценки внутренних требований к капиталу для покрытия комплаенс-риска.]</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6. Методология оценки внутренних требований к капиталу для покрытия риска кредитной концентрации</w:t>
            </w:r>
          </w:p>
        </w:tc>
      </w:tr>
      <w:tr>
        <w:tc>
          <w:tcPr>
            <w:tcW w:type="dxa" w:w="678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риска кредитной концентрации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 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методологию и допущения, на которых основана методология расчета внутренних требований к капиталу.</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нормативные акты, в которых подробно прописана методика оценки требований к внутреннему капиталу для покрытия риска кредитной концентрации.]</w:t>
            </w:r>
          </w:p>
        </w:tc>
      </w:tr>
      <w:tr>
        <w:tc>
          <w:tcPr>
            <w:tcW w:type="dxa" w:w="1017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7. Методология оценки внутренних требований к капиталу для покрытия прочих существенных рисков</w:t>
            </w:r>
          </w:p>
        </w:tc>
      </w:tr>
      <w:tr>
        <w:tc>
          <w:tcPr>
            <w:tcW w:type="dxa" w:w="508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требования к капиталу для покрытия прочих существенных рисков</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 тыс.сом)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упрощенный порядок расчета внутренних требований к капиталу по прочим существенным рискам</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причины выбора процентной доли достаточности капитала, который он должен использовать для покрытия всех других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Банк применяет другие методы расчета внутренних требований к капиталу для покрытия других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объясняет основные допущения и метод оценки каждого из прочих существенных рисков.]</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перечисляет внутренние политики, в которых банк подробно прописывает методологию оценки внутренних требований к капиталу для каждого из прочих существенных рисков.]</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9.2. Общие внутренние требования к капиталу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Внутренние требования к капиталу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определяет общие внутренние требования к капиталу путем суммирования внутренних требований к капиталу для всех существенных рисков.]</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15. Минимальные требования к капиталу и внутренние требования к капиталу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0"/>
        <w:gridCol w:w="3224"/>
        <w:gridCol w:w="2954"/>
      </w:tblGrid>
      <w:tr>
        <w:tc>
          <w:tcPr>
            <w:tcW w:type="dxa" w:w="40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 сом</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риска</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Минимальные требования к капиталу</w:t>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требования к капиталу</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Операционный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Рыночный 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Риск процентной ставки в банковском портфеле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Комплаенс-риск</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Риск кредитной концентрации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Подкатегории, включая: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существенные риски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xx</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Планирование капитала и стресс-тестирование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10.1. Планирование капитала</w:t>
      </w:r>
    </w:p>
    <w:p>
      <w:pPr>
        <w:spacing w:after="240" w:before="200"/>
        <w:jc w:val="center"/>
      </w:pPr>
      <w:r>
        <w:rPr>
          <w:rFonts w:ascii="Arial" w:cs="Arial" w:eastAsia="Arial" w:hAnsi="Arial"/>
          <w:b/>
          <w:bCs/>
          <w:sz w:val="32"/>
          <w:szCs w:val="32"/>
        </w:rPr>
        <w:t xml:space="preserve">(см. параграф 10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Финансовое планирование и планирование капитала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указывает планируемый абсолютный размер и структуру капитала, с помощью которого банк покроет все существенные риски от своей деятельности на ближайшие три года.]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общей схемы планирования капитала, включая рассматриваемые аспекты (например, внутренние, нормативные), временной горизонт, инструменты привлечения капитала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описывает наиболее существенные элементы плана управления капиталом.]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 приводит анализ расхождений между запланированной величиной капитала на год, за который составляется данный отчет, и установленными общими внутренними требованиями к капиталу, рассчитанными по результатам ВПОДК на ту же дату.]</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и оценка текущих выводов из планирования капитала, таких как запланированные выпуски различных инструментов привлечения капитала, другие связанные с капиталом меры (например, политика выплаты дивидендов) и запланированные изменения в балансе (например, продажа портфелей.)]</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16. Ожидания по основным макроэкономическим показателям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4293"/>
        <w:gridCol w:w="1366"/>
        <w:gridCol w:w="1366"/>
        <w:gridCol w:w="1366"/>
      </w:tblGrid>
      <w:tr>
        <w:tc>
          <w:tcPr>
            <w:tcW w:type="dxa" w:w="17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w:t>
            </w:r>
          </w:p>
        </w:tc>
        <w:tc>
          <w:tcPr>
            <w:tcW w:type="dxa" w:w="4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17.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6001"/>
        <w:gridCol w:w="1329"/>
        <w:gridCol w:w="601"/>
        <w:gridCol w:w="601"/>
        <w:gridCol w:w="601"/>
      </w:tblGrid>
      <w:tr>
        <w:tc>
          <w:tcPr>
            <w:tcW w:type="dxa" w:w="1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10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Позиции</w:t>
            </w:r>
          </w:p>
        </w:tc>
        <w:tc>
          <w:tcPr>
            <w:tcW w:type="dxa" w:w="60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0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финансовых учреждениях</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репо-операции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финансовым учреждениям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кредитных и лизинговых потерь и убытков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чистые кредиты Сумма 12-14 строки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Сумма строк 7-14, 16-21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Вклады населения и предприятий до востребования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вклады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«лоро»-счета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Депозиты Сумма строк 15-18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государственных органов Кыргызской Республики и органов местного самоуправления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обязательства и кредиты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Сумма строк 19-24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Обыкновенные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 (сумма строк 27-32)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(сумма строк 25 и 33)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18. Прибыль и убытки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5"/>
        <w:gridCol w:w="1787"/>
        <w:gridCol w:w="675"/>
        <w:gridCol w:w="675"/>
        <w:gridCol w:w="675"/>
      </w:tblGrid>
      <w:tr>
        <w:tc>
          <w:tcPr>
            <w:tcW w:type="dxa" w:w="63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25"/>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36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78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Отправная точка</w:t>
            </w:r>
          </w:p>
        </w:tc>
        <w:tc>
          <w:tcPr>
            <w:tcW w:type="dxa" w:w="202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Процентный доход по ценным бумагам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Процентный доход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Процентные расходы по депозитам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Процентные расходы по полученным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Прочие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Итого процентные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Чистый 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Резерв на покрытие возможных потерь и убытков по кредитам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Чистый процентный доход после отчисления в РППУ</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Сборы и комиссионные за обслуживание</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 от операций с ценными бумагами</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 от операций с иностранной валютой</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Прочий 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Итого непроцентный доход</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Расходы на персонал</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Затраты на основные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аренда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прочее</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Итого прочие операционные и административные расходы</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Чистая операционная прибыль (убыток)</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Резерв на покрытие потерь и убытков (не от кредитных операций)</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Чистый доход (убыток) после РППУ</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Подоходный налог</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Чистый доход (убыток) по непредвиденным доходам и расходам</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Чистая прибыль (убыток)</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19. Определение мероприятий, связанных с капиталом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9"/>
        <w:gridCol w:w="3379"/>
      </w:tblGrid>
      <w:tr>
        <w:tc>
          <w:tcPr>
            <w:tcW w:type="dxa" w:w="6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Связанные с капиталом мероприятия</w:t>
            </w:r>
          </w:p>
        </w:tc>
        <w:tc>
          <w:tcPr>
            <w:tcW w:type="dxa" w:w="3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w:t>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10.2. Стресс-тестирование</w:t>
      </w:r>
    </w:p>
    <w:p>
      <w:pPr>
        <w:spacing w:after="240" w:before="200"/>
        <w:jc w:val="center"/>
      </w:pPr>
      <w:r>
        <w:rPr>
          <w:rFonts w:ascii="Arial" w:cs="Arial" w:eastAsia="Arial" w:hAnsi="Arial"/>
          <w:b/>
          <w:bCs/>
          <w:sz w:val="32"/>
          <w:szCs w:val="32"/>
        </w:rPr>
        <w:t xml:space="preserve">(см. параграф 11 главы 4 настоящего Положения)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Стресс-тестирование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[Ожидается, что банк определит, насколько все существенные риски, выявленные банком в рамках ВПОДК, были должным образом учтены при стресс-тестировании. Ожидается, что банк сопоставит основные факторы риска, используемые в стресс-тесте, с существенными рисками.]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программы стресс-тестирования, включая, среди прочего, типы проводимых стресс-тестов, их частоту, методологические аспекты и используемые модели, диапазон допущений и соответствующую инфраструктуру данных.]</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механизмов организации управления рисками программы стресс-тестирования, использования стресс-тестирования и его интеграции в структуру управления рисками и контроля.]</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стрессового сценария, рассматриваемого в рамках ВПОДК, включая характеристики допущений сценария, ключевые макропеременные, бизнес-допущения в отношении баланса, исходных дат, временных горизонтов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количественных результатов сценария с учетом предложенных таблиц.]</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20. Ожидания в отношении изменения макроэкономических показателей в условиях стресса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4293"/>
        <w:gridCol w:w="1366"/>
        <w:gridCol w:w="1366"/>
        <w:gridCol w:w="1366"/>
      </w:tblGrid>
      <w:tr>
        <w:tc>
          <w:tcPr>
            <w:tcW w:type="dxa" w:w="17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Индекс</w:t>
            </w:r>
          </w:p>
        </w:tc>
        <w:tc>
          <w:tcPr>
            <w:tcW w:type="dxa" w:w="42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21. Бухгалтерский баланс в условиях стрессовой ситуации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6001"/>
        <w:gridCol w:w="1329"/>
        <w:gridCol w:w="601"/>
        <w:gridCol w:w="601"/>
        <w:gridCol w:w="601"/>
      </w:tblGrid>
      <w:tr>
        <w:tc>
          <w:tcPr>
            <w:tcW w:type="dxa" w:w="1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10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60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180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финансовых учреждениях</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репо-операции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финансовым учреждениям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кредитных и лизинговых потерь и убытков</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чистые кредиты Сумма 12-14 строки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Активы Сумма строк 7-14, 16-21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Вклады населения и предприятий до востребования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вклады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«лоро»-счета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Депозиты Сумма строк 15-18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государственных органов Кыргызской Республики и органов местного самоуправления</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долгосрочные обязательства и кредиты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Сумма строк 19-24</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Обыкновенные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резервы</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 (сумма строк 27-32)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собственный капитал (сумма строк 25 и 33)</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22. Прибыль и убытки в условиях стрессовой ситуации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9"/>
        <w:gridCol w:w="1657"/>
        <w:gridCol w:w="681"/>
        <w:gridCol w:w="681"/>
        <w:gridCol w:w="681"/>
      </w:tblGrid>
      <w:tr>
        <w:tc>
          <w:tcPr>
            <w:tcW w:type="dxa" w:w="64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43"/>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i/>
                <w:iCs/>
                <w:sz w:val="24"/>
                <w:szCs w:val="24"/>
              </w:rPr>
              <w:t xml:space="preserve">в тыс.сом</w:t>
            </w:r>
          </w:p>
        </w:tc>
      </w:tr>
      <w:tr>
        <w:tc>
          <w:tcPr>
            <w:tcW w:type="dxa" w:w="64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Позиции</w:t>
            </w:r>
          </w:p>
        </w:tc>
        <w:tc>
          <w:tcPr>
            <w:tcW w:type="dxa" w:w="16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линия</w:t>
            </w:r>
          </w:p>
        </w:tc>
        <w:tc>
          <w:tcPr>
            <w:tcW w:type="dxa" w:w="204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Процентный доход по ценным бумагам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Процентный доход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Итого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Процентные расходы по депозитам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Процентные расходы по полученным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Прочие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Итого процентные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Чистый 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Резерв на покрытие возможных потерь и убытков по кредитам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Чистый процентный доход после отчисления в РППУ</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Сборы и комиссионные за обслуживание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Доход от операций с ценными бумагами</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Доход от операций с иностранной валютой</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Прочий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Итого непроцентный доход</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Расходы на персонал</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Затраты на основные средства</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аренда</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прочее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Итого прочие операционные и административные расходы</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Чистая операционная прибыль (убыток)</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Резерв на покрытие потерь и убытков (не от кредитных операций)</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Чистый доход (убыток) после РППУ</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Подоходный налог</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Чистый доход (убыток) по непредвиденным доходам и расходам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Чистая прибыль (убыток)</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Прочие положения</w:t>
      </w:r>
    </w:p>
    <w:p>
      <w:pPr>
        <w:spacing w:after="240" w:before="200"/>
        <w:jc w:val="center"/>
      </w:pPr>
      <w:r>
        <w:rPr>
          <w:rFonts w:ascii="Arial" w:cs="Arial" w:eastAsia="Arial" w:hAnsi="Arial"/>
          <w:b/>
          <w:bCs/>
          <w:sz w:val="32"/>
          <w:szCs w:val="32"/>
        </w:rPr>
        <w:t xml:space="preserve">(см. параграф 12 главы 4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Совершенствование ВПОДК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Меры совершенствования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описывает основные слабые места и недостатки ВПОДК, отмеченные банком.]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банк ссылается на внутренние нормативные документы, касающиеся плана мероприятий по доработке и совершенствованию ВПОДК.]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приводит перечень изменений, планируемых в стратегии управления рисками.]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Прочая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Прочее</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всей прочей информации и результатов ВПОДК, которые не были охвачены в других частях этого отчета.]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СТАНДАРТНЫЕ ПОДХОДЫ</w:t>
      </w:r>
    </w:p>
    <w:p>
      <w:pPr>
        <w:spacing w:after="240" w:before="200"/>
        <w:jc w:val="center"/>
      </w:pPr>
      <w:r>
        <w:rPr>
          <w:rFonts w:ascii="Arial" w:cs="Arial" w:eastAsia="Arial" w:hAnsi="Arial"/>
          <w:b/>
          <w:bCs/>
          <w:sz w:val="32"/>
          <w:szCs w:val="32"/>
        </w:rPr>
        <w:t xml:space="preserve">к выделению капитала на покрытие риска кредитной концентрации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В соответствии с требованиями подпункта 2 (а) </w:t>
      </w:r>
      <w:r>
        <w:rPr>
          <w:rFonts w:ascii="Arial" w:cs="Arial" w:eastAsia="Arial" w:hAnsi="Arial"/>
          <w:sz w:val="24"/>
          <w:szCs w:val="24"/>
        </w:rPr>
        <w:t xml:space="preserve">пункта 29</w:t>
      </w:r>
      <w:r>
        <w:rPr>
          <w:rFonts w:ascii="Arial" w:cs="Arial" w:eastAsia="Arial" w:hAnsi="Arial"/>
          <w:sz w:val="24"/>
          <w:szCs w:val="24"/>
        </w:rPr>
        <w:t xml:space="preserve"> настоящего Положения при оценке внутренних требований к капиталу для покрытия риска кредитной концентрации банки должны представить в отчете ВПОДК анализ риска кредитной концентрации, как риска, который может привести к возникновению убытков для банка. Ниже представлены формы риска кредитной концентрации, которые может рассчитывать банк:</w:t>
      </w:r>
    </w:p>
    <w:p>
      <w:pPr>
        <w:spacing w:after="120"/>
        <w:ind w:firstLine="397"/>
        <w:jc w:val="both"/>
      </w:pPr>
      <w:r>
        <w:rPr>
          <w:rFonts w:ascii="Arial" w:cs="Arial" w:eastAsia="Arial" w:hAnsi="Arial"/>
          <w:sz w:val="24"/>
          <w:szCs w:val="24"/>
        </w:rPr>
        <w:t xml:space="preserve">1) индивидуальная концентрация: концентрация на клиентах или связанных клиентских группах; а также</w:t>
      </w:r>
    </w:p>
    <w:p>
      <w:pPr>
        <w:spacing w:after="120"/>
        <w:ind w:firstLine="397"/>
        <w:jc w:val="both"/>
      </w:pPr>
      <w:r>
        <w:rPr>
          <w:rFonts w:ascii="Arial" w:cs="Arial" w:eastAsia="Arial" w:hAnsi="Arial"/>
          <w:sz w:val="24"/>
          <w:szCs w:val="24"/>
        </w:rPr>
        <w:t xml:space="preserve">2) отраслевая концентрация: концентрация на отрасли/экономическом секторе, возникающая в результате работы с клиентами, финансовое положение которых зависит от аналогичных продуктов или услуг.</w:t>
      </w:r>
    </w:p>
    <w:p>
      <w:pPr>
        <w:spacing w:after="120"/>
        <w:ind w:firstLine="397"/>
        <w:jc w:val="both"/>
      </w:pPr>
      <w:r>
        <w:rPr>
          <w:rFonts w:ascii="Arial" w:cs="Arial" w:eastAsia="Arial" w:hAnsi="Arial"/>
          <w:sz w:val="24"/>
          <w:szCs w:val="24"/>
        </w:rPr>
        <w:t xml:space="preserve">2. При оценке внутреннего требования к капиталу для покрытия данного риска, относящегося к концентрации в секторах экономики и на клиентах или связанных группах клиентов, банки могут использовать метод, определенный Национальным банком в настоящем Приложении.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Индивидуальная концентрация</w:t>
      </w:r>
    </w:p>
    <w:p>
      <w:pPr>
        <w:spacing w:after="120"/>
        <w:ind w:firstLine="397"/>
        <w:jc w:val="both"/>
      </w:pPr>
      <w:r>
        <w:rPr>
          <w:rFonts w:ascii="Arial" w:cs="Arial" w:eastAsia="Arial" w:hAnsi="Arial"/>
          <w:sz w:val="24"/>
          <w:szCs w:val="24"/>
        </w:rPr>
        <w:t xml:space="preserve">3. Расчет концентрации по клиентам/связанным группам клиентов осуществляется на основе индекса Херфиндаля-Хиршмана (HHI), как определено в пункте 4 настоящего Приложения. Когда HHI превышает 1, банк повышает внутренние требования к капиталу для покрытия риска концентрации по клиентам/связанным группам клиентов. Для этого требование к капиталу для покрытия кредитного риска умножается на соответствующую величину риска в соответствии с повышением согласно нижеприведенной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3"/>
        <w:gridCol w:w="2225"/>
      </w:tblGrid>
      <w:tr>
        <w:tc>
          <w:tcPr>
            <w:tcW w:type="dxa" w:w="79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 концентрации клиентов/родственных групп клиентов</w:t>
            </w:r>
          </w:p>
        </w:tc>
        <w:tc>
          <w:tcPr>
            <w:tcW w:type="dxa" w:w="2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Повышение (%)</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 &lt; HHIi ≤ 1</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&lt; HHIi ≤ 2</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&lt; HHIi ≤ 4</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&lt; HHIi ≤ 10</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79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&lt; HHIi ≤ 100</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Банк оценивает общий риск для 100 крупнейших заемщиков, независимо от их статуса. Индекс индивидуальный концентрации (HHII)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w:t>
      </w:r>
      <w:r>
        <w:rPr>
          <w:rFonts w:ascii="Arial" w:cs="Arial" w:eastAsia="Arial" w:hAnsi="Arial"/>
          <w:sz w:val="24"/>
          <w:szCs w:val="24"/>
        </w:rPr>
        <w:t xml:space="preserve">HHII</w:t>
      </w:r>
      <w:r>
        <w:rPr>
          <w:rFonts w:ascii="Arial" w:cs="Arial" w:eastAsia="Arial" w:hAnsi="Arial"/>
          <w:sz w:val="24"/>
          <w:szCs w:val="24"/>
        </w:rPr>
        <w:t xml:space="preserve"> = </w:t>
      </w:r>
      <w:r>
        <w:rPr>
          <w:rFonts w:ascii="Arial" w:cs="Arial" w:eastAsia="Arial" w:hAnsi="Arial"/>
          <w:sz w:val="24"/>
          <w:szCs w:val="24"/>
        </w:rPr>
        <w:t xml:space="preserve">E xi</w:t>
      </w:r>
      <w:r>
        <w:rPr>
          <w:rFonts w:ascii="Arial" w:cs="Arial" w:eastAsia="Arial" w:hAnsi="Arial"/>
          <w:sz w:val="24"/>
          <w:szCs w:val="24"/>
        </w:rPr>
        <w:t xml:space="preserve">2 / (</w:t>
      </w:r>
      <w:r>
        <w:rPr>
          <w:rFonts w:ascii="Arial" w:cs="Arial" w:eastAsia="Arial" w:hAnsi="Arial"/>
          <w:sz w:val="24"/>
          <w:szCs w:val="24"/>
        </w:rPr>
        <w:t xml:space="preserve">Exi</w:t>
      </w:r>
      <w:r>
        <w:rPr>
          <w:rFonts w:ascii="Arial" w:cs="Arial" w:eastAsia="Arial" w:hAnsi="Arial"/>
          <w:sz w:val="24"/>
          <w:szCs w:val="24"/>
        </w:rPr>
        <w:t xml:space="preserve">)2 * </w:t>
      </w:r>
      <w:r>
        <w:rPr>
          <w:rFonts w:ascii="Arial" w:cs="Arial" w:eastAsia="Arial" w:hAnsi="Arial"/>
          <w:sz w:val="24"/>
          <w:szCs w:val="24"/>
        </w:rPr>
        <w:t xml:space="preserve">E xi</w:t>
      </w:r>
      <w:r>
        <w:rPr>
          <w:rFonts w:ascii="Arial" w:cs="Arial" w:eastAsia="Arial" w:hAnsi="Arial"/>
          <w:sz w:val="24"/>
          <w:szCs w:val="24"/>
        </w:rPr>
        <w:t xml:space="preserve"> / </w:t>
      </w:r>
      <w:r>
        <w:rPr>
          <w:rFonts w:ascii="Arial" w:cs="Arial" w:eastAsia="Arial" w:hAnsi="Arial"/>
          <w:sz w:val="24"/>
          <w:szCs w:val="24"/>
        </w:rPr>
        <w:t xml:space="preserve">Ey</w:t>
      </w:r>
      <w:r>
        <w:rPr>
          <w:rFonts w:ascii="Arial" w:cs="Arial" w:eastAsia="Arial" w:hAnsi="Arial"/>
          <w:sz w:val="24"/>
          <w:szCs w:val="24"/>
        </w:rPr>
        <w:t xml:space="preserve"> * 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а) «xi» означает стоимость «i» клиентов в портфеле банка (по совокупному риску);</w:t>
      </w:r>
    </w:p>
    <w:p>
      <w:pPr>
        <w:spacing w:after="120"/>
        <w:ind w:firstLine="397"/>
        <w:jc w:val="both"/>
      </w:pPr>
      <w:r>
        <w:rPr>
          <w:rFonts w:ascii="Arial" w:cs="Arial" w:eastAsia="Arial" w:hAnsi="Arial"/>
          <w:sz w:val="24"/>
          <w:szCs w:val="24"/>
        </w:rPr>
        <w:t xml:space="preserve">б) «y» означает совокупную стоимость портфеля банка;</w:t>
      </w:r>
    </w:p>
    <w:p>
      <w:pPr>
        <w:spacing w:after="120"/>
        <w:ind w:firstLine="397"/>
        <w:jc w:val="both"/>
      </w:pPr>
      <w:r>
        <w:rPr>
          <w:rFonts w:ascii="Arial" w:cs="Arial" w:eastAsia="Arial" w:hAnsi="Arial"/>
          <w:sz w:val="24"/>
          <w:szCs w:val="24"/>
        </w:rPr>
        <w:t xml:space="preserve">в) «i» означает количество клиентов, используемых для расчета HHI (i = 100).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0"/>
        <w:gridCol w:w="2540"/>
        <w:gridCol w:w="3167"/>
      </w:tblGrid>
      <w:tr>
        <w:tc>
          <w:tcPr>
            <w:tcW w:type="dxa" w:w="44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риска</w:t>
            </w:r>
          </w:p>
        </w:tc>
        <w:tc>
          <w:tcPr>
            <w:tcW w:type="dxa" w:w="3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подверженности риску</w:t>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подверженность риску</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r>
              <w:rPr>
                <w:rFonts w:ascii="Arial" w:cs="Arial" w:eastAsia="Arial" w:hAnsi="Arial"/>
                <w:sz w:val="24"/>
                <w:szCs w:val="24"/>
              </w:rPr>
              <w:t xml:space="preserve">y</w:t>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крупнейших заемщиков</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r>
              <w:rPr>
                <w:rFonts w:ascii="Arial" w:cs="Arial" w:eastAsia="Arial" w:hAnsi="Arial"/>
                <w:sz w:val="24"/>
                <w:szCs w:val="24"/>
              </w:rPr>
              <w:t xml:space="preserve">x</w:t>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индивидуальной концентрации</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HHII</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Отраслевая концентрация</w:t>
      </w:r>
    </w:p>
    <w:p>
      <w:pPr>
        <w:spacing w:after="120"/>
        <w:ind w:firstLine="397"/>
        <w:jc w:val="both"/>
      </w:pPr>
      <w:r>
        <w:rPr>
          <w:rFonts w:ascii="Arial" w:cs="Arial" w:eastAsia="Arial" w:hAnsi="Arial"/>
          <w:sz w:val="24"/>
          <w:szCs w:val="24"/>
        </w:rPr>
        <w:t xml:space="preserve">5. Расчет отраслевой концентрации осуществляется на основе индекса HHI, как определено в </w:t>
      </w:r>
      <w:r>
        <w:rPr>
          <w:rFonts w:ascii="Arial" w:cs="Arial" w:eastAsia="Arial" w:hAnsi="Arial"/>
          <w:sz w:val="24"/>
          <w:szCs w:val="24"/>
        </w:rPr>
        <w:t xml:space="preserve">пункте 6</w:t>
      </w:r>
      <w:r>
        <w:rPr>
          <w:rFonts w:ascii="Arial" w:cs="Arial" w:eastAsia="Arial" w:hAnsi="Arial"/>
          <w:sz w:val="24"/>
          <w:szCs w:val="24"/>
        </w:rPr>
        <w:t xml:space="preserve"> настоящего Приложения. Когда HHI превышает 10, банк повышает внутренние требования к капиталу для покрытия риска отраслевой концентрации. Для этого требование к внутреннему капиталу для покрытия кредитного риска умножается на соответствующую величину риска в соответствии с повышением согласно следующей таблице: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23"/>
        <w:gridCol w:w="3355"/>
      </w:tblGrid>
      <w:tr>
        <w:tc>
          <w:tcPr>
            <w:tcW w:type="dxa" w:w="68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Индекс отраслевой концентрации</w:t>
            </w:r>
          </w:p>
        </w:tc>
        <w:tc>
          <w:tcPr>
            <w:tcW w:type="dxa" w:w="3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Повышение (%)</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 &lt; HHIi ≤ 10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&lt; HHIi ≤ 15</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&lt; HHIi ≤ 20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&lt; HHIi ≤ 25</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6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&lt; HHIi ≤ 100</w:t>
            </w:r>
          </w:p>
        </w:tc>
        <w:tc>
          <w:tcPr>
            <w:tcW w:type="dxa" w:w="3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Банк оценивает общий риск для одного сектора согласно таблице 2.</w:t>
      </w:r>
    </w:p>
    <w:p>
      <w:pPr>
        <w:spacing w:after="120"/>
        <w:ind w:firstLine="397"/>
        <w:jc w:val="both"/>
      </w:pPr>
      <w:r>
        <w:rPr>
          <w:rFonts w:ascii="Arial" w:cs="Arial" w:eastAsia="Arial" w:hAnsi="Arial"/>
          <w:sz w:val="24"/>
          <w:szCs w:val="24"/>
        </w:rPr>
        <w:t xml:space="preserve">Индекс отраслевой концентрации (HHIs)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HHIs = E x2 / (Ex) 2 * (Ex) / y,</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а) «x» означает показатель подверженности конкретного сектора;</w:t>
      </w:r>
    </w:p>
    <w:p>
      <w:pPr>
        <w:spacing w:after="120"/>
        <w:ind w:firstLine="397"/>
        <w:jc w:val="both"/>
      </w:pPr>
      <w:r>
        <w:rPr>
          <w:rFonts w:ascii="Arial" w:cs="Arial" w:eastAsia="Arial" w:hAnsi="Arial"/>
          <w:sz w:val="24"/>
          <w:szCs w:val="24"/>
        </w:rPr>
        <w:t xml:space="preserve">б) «y» означает общую подверженность.</w:t>
      </w:r>
    </w:p>
    <w:p>
      <w:pPr>
        <w:spacing w:after="120"/>
        <w:ind w:firstLine="397"/>
        <w:jc w:val="both"/>
      </w:pPr>
      <w:r>
        <w:rPr>
          <w:rFonts w:ascii="Arial" w:cs="Arial" w:eastAsia="Arial" w:hAnsi="Arial"/>
          <w:sz w:val="24"/>
          <w:szCs w:val="24"/>
        </w:rPr>
        <w:t xml:space="preserve">Банк должен классифицировать свою подверженность рискам по секторам в соответствии с имеющимися данными.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сектора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по Международной стандартной классификации отраслей хозяйственной деятельности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подверженность риску в конкретном секторе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 общей подверженности риску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лесное хозяйство, охота, рыболовство и рыбоводство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электрической энергией, газом и паром, кондиционирование воздуха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водоотведение, организация сбора и утилизации отходов, деятельность по ликвидации загрязнений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оптовая и розничная, ремонт автотранспортных средств и мотоциклов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 и хранение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гостиниц и предприятий общественного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информации и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финансовая и страховая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по операциям с недвижимым имуществом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профессиональная, научная и техническая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административная и сопутствующие дополнительные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обеспечение военной безопасности, социальное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здравоохранения и социальных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культуры, спорта, организации досуга и развлечений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прочих видов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 и органов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y26jnjdkvkeogmd9e3d">
      <w:r>
        <w:rPr>
          <w:rFonts w:ascii="Arial" w:cs="Arial" w:eastAsia="Arial" w:hAnsi="Arial"/>
          <w:color w:val="132D3F"/>
          <w:sz w:val="16"/>
          <w:szCs w:val="16"/>
          <w:u w:val="single"/>
        </w:rPr>
        <w:t xml:space="preserve">dalil.kg/document/230020696</w:t>
      </w:r>
    </w:hyperlink>
  </w:p>
  <w:p>
    <w:pPr>
      <w:spacing w:after="0" w:before="40"/>
      <w:jc w:val="center"/>
    </w:pPr>
    <w:hyperlink w:history="1" r:id="rIdvnz8qwcmtegu8xptfhh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93bi-b10dessvzgzyxa" Type="http://schemas.openxmlformats.org/officeDocument/2006/relationships/hyperlink" Target="https://dalil.kg/document/112428" TargetMode="External"/><Relationship Id="rIdgtjaqlrtcilie_-v4oiyb" Type="http://schemas.openxmlformats.org/officeDocument/2006/relationships/hyperlink" Target="https://dalil.kg/document/112428#st_25" TargetMode="External"/><Relationship Id="rIdasdhnmjqoktqp2gp5dbwe" Type="http://schemas.openxmlformats.org/officeDocument/2006/relationships/hyperlink" Target="https://dalil.kg/document/112428#st_25" TargetMode="External"/><Relationship Id="rIdpxypw_wie9dkcthwm6wse" Type="http://schemas.openxmlformats.org/officeDocument/2006/relationships/hyperlink" Target="https://dalil.kg/document/112428#st_25" TargetMode="External"/><Relationship Id="rIdaawhgvwixte9yyyvik8c9" Type="http://schemas.openxmlformats.org/officeDocument/2006/relationships/hyperlink" Target="https://dalil.kg/document/230020696" TargetMode="External"/><Relationship Id="rIdtmksh1bgk3p4smebmbqzk" Type="http://schemas.openxmlformats.org/officeDocument/2006/relationships/hyperlink" Target="https://dalil.kg/document/112428#st_25" TargetMode="External"/><Relationship Id="rIdthbh-oxr15mqoazue3fgq" Type="http://schemas.openxmlformats.org/officeDocument/2006/relationships/hyperlink" Target="https://dalil.kg/document/112428#st_2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y26jnjdkvkeogmd9e3d" Type="http://schemas.openxmlformats.org/officeDocument/2006/relationships/hyperlink" Target="https://dalil.kg/document/230020696" TargetMode="External"/><Relationship Id="rIdvnz8qwcmtegu8xptfhh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2026-09-27T14:15:15.437Z</dcterms:created>
  <dcterms:modified xsi:type="dcterms:W3CDTF">2026-09-27T14:15:15.437Z</dcterms:modified>
</cp:coreProperties>
</file>

<file path=docProps/custom.xml><?xml version="1.0" encoding="utf-8"?>
<Properties xmlns="http://schemas.openxmlformats.org/officeDocument/2006/custom-properties" xmlns:vt="http://schemas.openxmlformats.org/officeDocument/2006/docPropsVTypes"/>
</file>