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0-rruio7kvjdumzlagqs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26 декабря 2024 года № 801)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НАЦИОНАЛЬНАЯ ЭКСПОРТНАЯ ПРОГРАММА
 "Сделано в Кыргызстане" на 2025-2028 годы</w:t>
      </w:r>
    </w:p>
    <w:p>
      <w:pPr>
        <w:spacing w:after="240" w:before="200"/>
        <w:jc w:val="center"/>
      </w:pPr>
      <w:r>
        <w:rPr>
          <w:rFonts w:ascii="Arial" w:cs="Arial" w:eastAsia="Arial" w:hAnsi="Arial"/>
          <w:b/>
          <w:bCs/>
          <w:sz w:val="32"/>
          <w:szCs w:val="32"/>
        </w:rPr>
        <w:t xml:space="preserve">Глава 1. Общая оценка текущей ситуации</w:t>
      </w:r>
    </w:p>
    <w:p>
      <w:pPr>
        <w:spacing w:after="120"/>
        <w:ind w:firstLine="567"/>
        <w:jc w:val="both"/>
      </w:pPr>
      <w:r>
        <w:rPr>
          <w:rFonts w:ascii="Arial" w:cs="Arial" w:eastAsia="Arial" w:hAnsi="Arial"/>
          <w:sz w:val="24"/>
          <w:szCs w:val="24"/>
        </w:rPr>
        <w:t xml:space="preserve">Экономика Кыргызской Республики развивается в постковидный период, который характеризируется как ситуация, имеющая все признаки перестроения мировой экономической системы. В 2023 году мировая экономика характеризовалась продолжающейся напряженностью геополитической ситуации, нарушениями логистических цепочек поставок, санкциями, волатильностью на сырьевых и финансовых рынках, повышением стоимости издержек на производство, глобальным характером инфляции и др.</w:t>
      </w:r>
    </w:p>
    <w:p>
      <w:pPr>
        <w:spacing w:after="120"/>
        <w:ind w:firstLine="567"/>
        <w:jc w:val="both"/>
      </w:pPr>
      <w:r>
        <w:rPr>
          <w:rFonts w:ascii="Arial" w:cs="Arial" w:eastAsia="Arial" w:hAnsi="Arial"/>
          <w:sz w:val="24"/>
          <w:szCs w:val="24"/>
        </w:rPr>
        <w:t xml:space="preserve">На Кыргызскую Республику, как на открытую экономику, естественно, оказывают влияние эти внешние факторы. Тем не менее внутренний потенциал страны позволил обеспечить восстановление экономической активности.</w:t>
      </w:r>
    </w:p>
    <w:p>
      <w:pPr>
        <w:spacing w:after="120"/>
        <w:ind w:firstLine="567"/>
        <w:jc w:val="both"/>
      </w:pPr>
      <w:r>
        <w:rPr>
          <w:rFonts w:ascii="Arial" w:cs="Arial" w:eastAsia="Arial" w:hAnsi="Arial"/>
          <w:sz w:val="24"/>
          <w:szCs w:val="24"/>
        </w:rPr>
        <w:t xml:space="preserve">За последние годы Кыргызская Республика достигла значительных успехов в экономическом развитии. Экономика росла значительными темпами, и средний рост составил 6,9% (2021 г. - 105,5%, 2022 г. - 109,0%, 2023 г. - 106,2%, предварительно за 2024 г. - 108,4%), что свидетельствует об устойчивости экономики и ее постепенной адаптации к постковидной и геополитической ситуации.</w:t>
      </w:r>
    </w:p>
    <w:p>
      <w:pPr>
        <w:spacing w:after="120"/>
        <w:ind w:firstLine="567"/>
        <w:jc w:val="both"/>
      </w:pPr>
      <w:r>
        <w:rPr>
          <w:rFonts w:ascii="Arial" w:cs="Arial" w:eastAsia="Arial" w:hAnsi="Arial"/>
          <w:sz w:val="24"/>
          <w:szCs w:val="24"/>
        </w:rPr>
        <w:t xml:space="preserve">В период с 2019 по 2023 годы валовый внутренний продукт на душу населения в Кыргызской Республике значительно увеличился, поднявшись с 99,2 тыс. сомов до 173,1 тыс. сомов, что в пересчете на доллары США составило рост с 1421,8 долларов США до 1969,2 долларов США. Это стало возможным благодаря ускорению темпов роста валового внутреннего продукта с 2021 года.</w:t>
      </w:r>
    </w:p>
    <w:p>
      <w:pPr>
        <w:spacing w:after="120"/>
        <w:ind w:firstLine="567"/>
        <w:jc w:val="both"/>
      </w:pPr>
      <w:r>
        <w:rPr>
          <w:rFonts w:ascii="Arial" w:cs="Arial" w:eastAsia="Arial" w:hAnsi="Arial"/>
          <w:sz w:val="24"/>
          <w:szCs w:val="24"/>
        </w:rPr>
        <w:t xml:space="preserve">По итогам 2023 года объем валового внутреннего продукта сложился в сумме 1228,9 млрд. сомов и реальный темп роста составил 106,2% (за 2022 г. - 109,0%). Дефлятор валового внутреннего продукта сложился на уровне 113,4%.</w:t>
      </w:r>
    </w:p>
    <w:p>
      <w:pPr>
        <w:spacing w:after="120"/>
        <w:ind w:firstLine="567"/>
        <w:jc w:val="both"/>
      </w:pPr>
      <w:r>
        <w:rPr>
          <w:rFonts w:ascii="Arial" w:cs="Arial" w:eastAsia="Arial" w:hAnsi="Arial"/>
          <w:sz w:val="24"/>
          <w:szCs w:val="24"/>
        </w:rPr>
        <w:t xml:space="preserve">Экономическая политика Кабинета Министров Кыргызской Республики в 2021-2024 годы была направлена на восстановление экономики и реформирование отраслей экономики для достижения долгосрочных стратегических целей развития страны. Активно проводилась работа по принятию антикризисных мер, реформе управления, формированию среды для развития бизнеса, развитию приоритетных отраслей экономики, "зеленой" экономике, социальному развитию, цифровизации, модернизации городов и т.д. Тем не менее с учетом текущей ситуации в глобальной экономике и вероятного замедления экономического роста в странах - основных торговых партнерах продолжалась работа по пересмотру экспортной политики страны.</w:t>
      </w:r>
    </w:p>
    <w:p>
      <w:pPr>
        <w:spacing w:after="120"/>
        <w:ind w:firstLine="567"/>
        <w:jc w:val="both"/>
      </w:pPr>
      <w:r>
        <w:rPr>
          <w:rFonts w:ascii="Arial" w:cs="Arial" w:eastAsia="Arial" w:hAnsi="Arial"/>
          <w:sz w:val="24"/>
          <w:szCs w:val="24"/>
        </w:rPr>
        <w:t xml:space="preserve">Страна взяла ориентир на создание новой модели развития экономики. Если раньше рост экономики основывался на денежных переводах, сырьевом сельскохозяйственном экспорте и золоте, то в новой модели развития экономики основное внимание будет уделено индустриализации и экспорту товаров и услуг с высокой добавленной стоимостью.</w:t>
      </w:r>
    </w:p>
    <w:p>
      <w:pPr>
        <w:spacing w:after="120"/>
        <w:ind w:firstLine="567"/>
        <w:jc w:val="both"/>
      </w:pPr>
      <w:r>
        <w:rPr>
          <w:rFonts w:ascii="Arial" w:cs="Arial" w:eastAsia="Arial" w:hAnsi="Arial"/>
          <w:sz w:val="24"/>
          <w:szCs w:val="24"/>
        </w:rPr>
        <w:t xml:space="preserve">В связи с чем, понимая важность и срочность реализации целей и задач по продвижению экспорта Кабинет Министров Кыргызской Республики в соответствии со стратегическими задачами, заложенными в Национальной стратегии развития Кыргызской Республики на 2018-2040 годы, усилит государственную поддержку экспорта и стимулирования экспортного потенциала производства, которая выражается в следующих направлениях:</w:t>
      </w:r>
    </w:p>
    <w:p>
      <w:pPr>
        <w:spacing w:after="120"/>
        <w:ind w:firstLine="567"/>
        <w:jc w:val="both"/>
      </w:pPr>
      <w:r>
        <w:rPr>
          <w:rFonts w:ascii="Arial" w:cs="Arial" w:eastAsia="Arial" w:hAnsi="Arial"/>
          <w:sz w:val="24"/>
          <w:szCs w:val="24"/>
        </w:rPr>
        <w:t xml:space="preserve">- продвижение экспорта;</w:t>
      </w:r>
    </w:p>
    <w:p>
      <w:pPr>
        <w:spacing w:after="120"/>
        <w:ind w:firstLine="567"/>
        <w:jc w:val="both"/>
      </w:pPr>
      <w:r>
        <w:rPr>
          <w:rFonts w:ascii="Arial" w:cs="Arial" w:eastAsia="Arial" w:hAnsi="Arial"/>
          <w:sz w:val="24"/>
          <w:szCs w:val="24"/>
        </w:rPr>
        <w:t xml:space="preserve">- улучшение доступа к финансам;</w:t>
      </w:r>
    </w:p>
    <w:p>
      <w:pPr>
        <w:spacing w:after="120"/>
        <w:ind w:firstLine="567"/>
        <w:jc w:val="both"/>
      </w:pPr>
      <w:r>
        <w:rPr>
          <w:rFonts w:ascii="Arial" w:cs="Arial" w:eastAsia="Arial" w:hAnsi="Arial"/>
          <w:sz w:val="24"/>
          <w:szCs w:val="24"/>
        </w:rPr>
        <w:t xml:space="preserve">- упрощение процедур торговли;</w:t>
      </w:r>
    </w:p>
    <w:p>
      <w:pPr>
        <w:spacing w:after="120"/>
        <w:ind w:firstLine="567"/>
        <w:jc w:val="both"/>
      </w:pPr>
      <w:r>
        <w:rPr>
          <w:rFonts w:ascii="Arial" w:cs="Arial" w:eastAsia="Arial" w:hAnsi="Arial"/>
          <w:sz w:val="24"/>
          <w:szCs w:val="24"/>
        </w:rPr>
        <w:t xml:space="preserve">- улучшение национальной инфраструктуры качества.</w:t>
      </w:r>
    </w:p>
    <w:p>
      <w:pPr>
        <w:spacing w:after="120"/>
        <w:ind w:firstLine="567"/>
        <w:jc w:val="both"/>
      </w:pPr>
      <w:r>
        <w:rPr>
          <w:rFonts w:ascii="Arial" w:cs="Arial" w:eastAsia="Arial" w:hAnsi="Arial"/>
          <w:sz w:val="24"/>
          <w:szCs w:val="24"/>
        </w:rPr>
        <w:t xml:space="preserve">Следует отметить, что в 2023 году, по предварительным данным Национального статистического комитета Кыргызской Республики, внешнеторговый оборот достиг 15902,8 млн. долларов США, что на 31,9% больше, чем в 2022 году.</w:t>
      </w:r>
    </w:p>
    <w:p>
      <w:pPr>
        <w:spacing w:after="120"/>
        <w:ind w:firstLine="567"/>
        <w:jc w:val="both"/>
      </w:pPr>
      <w:r>
        <w:rPr>
          <w:rFonts w:ascii="Arial" w:cs="Arial" w:eastAsia="Arial" w:hAnsi="Arial"/>
          <w:sz w:val="24"/>
          <w:szCs w:val="24"/>
        </w:rPr>
        <w:t xml:space="preserve">Объем экспорта составил 3385,0 млн. долларов США, увеличившись на 50,1%. В структуре экспорта значительную долю занимает золото (37,9%), машиностроение (16,1%), продовольственные товары и сельскохозяйственное сырье (11,7%), нерудные материалы (9,7%) и другие категории. Импорт товаров достиг 12517,8 млн. долларов США, увеличившись на 27,7%. Сальдо торгового баланса осталось отрицательным и увеличилось до 9132,8 млн. долларов США.</w:t>
      </w:r>
    </w:p>
    <w:p>
      <w:pPr>
        <w:spacing w:after="120"/>
        <w:ind w:firstLine="567"/>
        <w:jc w:val="both"/>
      </w:pPr>
      <w:r>
        <w:rPr>
          <w:rFonts w:ascii="Arial" w:cs="Arial" w:eastAsia="Arial" w:hAnsi="Arial"/>
          <w:sz w:val="24"/>
          <w:szCs w:val="24"/>
        </w:rPr>
        <w:t xml:space="preserve">Объем внешнеторгового оборота за январь-август 2024 года составил 10,6 млрд. долларов США и по сравнению с соответствующим периодом 2023 года вырос на 9,0%. При этом объем экспортных поставок Кыргызской Республики увеличился на 13,1% и составил 2,1 млрд. долларов США, а импортные поставки в Кыргызскую Республику по сравнению с соответствующим периодом прошлого года увеличились на 8,1% и составили 8,5 млрд. долларов США. В структуре товарооборота на долю экспорта пришлось 20,3%, импорта 79,7%. Рост объемов внешней и взаимной торговли в январе-августе текущего года по сравнению с январем-августом 2023 года обеспечен увеличением как экспортных поставок, так и импортных поступлений.</w:t>
      </w:r>
    </w:p>
    <w:p>
      <w:pPr>
        <w:spacing w:after="120"/>
        <w:ind w:firstLine="567"/>
        <w:jc w:val="both"/>
      </w:pPr>
      <w:r>
        <w:rPr>
          <w:rFonts w:ascii="Arial" w:cs="Arial" w:eastAsia="Arial" w:hAnsi="Arial"/>
          <w:sz w:val="24"/>
          <w:szCs w:val="24"/>
        </w:rPr>
        <w:t xml:space="preserve">В целом торговля Кыргызской Республики за 2023 год и за 8 месяцев 2024 года продемонстрировала рост в общем объеме, однако структурные изменения и вызовы в виде снижения экспорта определенных товарных групп подчеркивают необходимость диверсификации экспорта и поиска новых рынков сбыта. Важно также учитывать глобальные экономические тенденции и изменения в потребительских предпочтениях, которые могут существенно повлиять на будущие результаты внешней торговли страны.</w:t>
      </w:r>
    </w:p>
    <w:p>
      <w:pPr>
        <w:spacing w:after="120"/>
        <w:ind w:firstLine="567"/>
        <w:jc w:val="both"/>
      </w:pPr>
      <w:r>
        <w:rPr>
          <w:rFonts w:ascii="Arial" w:cs="Arial" w:eastAsia="Arial" w:hAnsi="Arial"/>
          <w:sz w:val="24"/>
          <w:szCs w:val="24"/>
        </w:rPr>
        <w:t xml:space="preserve">В Кыргызской Республике сельское хозяйство занимает важную роль в обеспечении продовольственной безопасности, уровне занятости и благосостояния граждан, в том числе в увеличении объема экспортных поставок. Около 66% населения проживает в сельской местности и 62% субъектов предпринимательства осуществляют деятельность в сельском хозяйстве. Согласно данным Национального статистического комитета Кыргызской Республики и Министерства водных ресурсов, сельского хозяйства и перерабатывающей промышленности Кыргызской Республики общая посевная площадь, занятая сельскохозяйственными культурами в хозяйствах всех категорий под урожай в 2024 году составила 1246,7 тыс. га, что на 8,8 тыс. га, или на 0,7% больше, чем в предыдущем году.</w:t>
      </w:r>
    </w:p>
    <w:p>
      <w:pPr>
        <w:spacing w:after="120"/>
        <w:ind w:firstLine="567"/>
        <w:jc w:val="both"/>
      </w:pPr>
      <w:r>
        <w:rPr>
          <w:rFonts w:ascii="Arial" w:cs="Arial" w:eastAsia="Arial" w:hAnsi="Arial"/>
          <w:sz w:val="24"/>
          <w:szCs w:val="24"/>
        </w:rPr>
        <w:t xml:space="preserve">Здесь примечателен тот факт, что ввиду ограниченности посевных площадей фермерами стали осваиваться богарные земли под кормовые культуры (силос), а также некоторые малопродуктивные пастбища. В целом сохранение размера посевных площадей с долей их увеличения также говорит о стремлении фермеров применять новые технологии и эффективно использовать каждый гектар земли для выращивания культур.</w:t>
      </w:r>
    </w:p>
    <w:p>
      <w:pPr>
        <w:spacing w:after="120"/>
        <w:ind w:firstLine="567"/>
        <w:jc w:val="both"/>
      </w:pPr>
      <w:r>
        <w:rPr>
          <w:rFonts w:ascii="Arial" w:cs="Arial" w:eastAsia="Arial" w:hAnsi="Arial"/>
          <w:b/>
          <w:bCs/>
          <w:sz w:val="24"/>
          <w:szCs w:val="24"/>
        </w:rPr>
        <w:t xml:space="preserve">Таблица 1. Урожайность сельскохозяйственных культур (центнеров с 1 га) и размеры посевных площадей в 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2218"/>
        <w:gridCol w:w="2088"/>
        <w:gridCol w:w="1598"/>
        <w:gridCol w:w="1582"/>
      </w:tblGrid>
      <w:tr>
        <w:tc>
          <w:tcPr>
            <w:tcW w:type="dxa" w:w="2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 2023 год</w:t>
            </w:r>
          </w:p>
        </w:tc>
        <w:tc>
          <w:tcPr>
            <w:tcW w:type="dxa" w:w="2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производства (тыс. тонн)</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 общем производстве</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Посевная площадь (га)</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 общей площади</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Картофель</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1286,6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72489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Овощи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1216,6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54779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Кукуруза на зерно</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799,9</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113268</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13,5%</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Сахарная свекла (фабричная)</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621,0</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13114</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Пшеница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440,4</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232075</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Ячмень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382,1</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245258</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Бахчи продовольственные</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10297</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Зернобобовые(в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72,3</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53594</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Хлопок-сырец (в зачетном весе)</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63,5</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17643</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Рис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46,8</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11799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5180,3</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839607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bl>
    <w:p>
      <w:pPr>
        <w:spacing w:after="120" w:before="120"/>
        <w:ind w:firstLine="567"/>
        <w:jc w:val="both"/>
      </w:pPr>
      <w:r>
        <w:rPr>
          <w:rFonts w:ascii="Arial" w:cs="Arial" w:eastAsia="Arial" w:hAnsi="Arial"/>
          <w:sz w:val="24"/>
          <w:szCs w:val="24"/>
        </w:rPr>
        <w:t xml:space="preserve">Из таблицы 1 видно, что овощи, картофель и кукуруза занимают небольшие доли посевных площадей (6,5%, 8,6% и 13,5% соответственно), но при этом данные культуры дают максимальные объемы урожаев (1216,6 тыс. тонн, 1286,6 тыс. тонн и 799,9 тыс. тонн соответственно). Если по зерновым посевным культурам Кыргызской Республике достаточно тяжело конкурировать с Республикой Казахстан, Украиной, Российской Федерацией ввиду наличия у этих стран обширных посевных площадей, однако в отношении выращивания картофеля, овощей и кукурузы у Кыргызской Республики имеются серьезные возможности. В Кыргызской Республике производится на 192% больше картофеля, чем потребляется. Также Кыргызская Республика полностью обеспечивает себя молочной продукцией. Необходимо отметить, что на данный момент крестьяне уже успешно используют некоторые технологические достижения сельского хозяйства, лучшие сорта, породы, удобрения, корма, системы капельного и дождевого орошения, лучшую сельскохозяйственную технику и т.д. Благодаря этому повышается урожайность сельскохозяйственных культур.</w:t>
      </w:r>
    </w:p>
    <w:p>
      <w:pPr>
        <w:spacing w:after="120"/>
        <w:ind w:firstLine="567"/>
        <w:jc w:val="both"/>
      </w:pPr>
      <w:r>
        <w:rPr>
          <w:rFonts w:ascii="Arial" w:cs="Arial" w:eastAsia="Arial" w:hAnsi="Arial"/>
          <w:sz w:val="24"/>
          <w:szCs w:val="24"/>
        </w:rPr>
        <w:t xml:space="preserve">Выбор фермерами плодово-ягодных культур в целом обусловлен многолетним циклом плодоношения саженцев, высокой маржинальностью собираемого урожая, хорошим спросом и невысокими затратами при уходе, поливе и сборе. При этом общие современные тенденции в области нутрициологии обусловили повышение популярности плодово-ягодных культур среди потребителей, что также подталкивает фермеров все больше производить данные культуры.</w:t>
      </w:r>
    </w:p>
    <w:p>
      <w:pPr>
        <w:spacing w:after="120"/>
        <w:ind w:firstLine="567"/>
        <w:jc w:val="both"/>
      </w:pPr>
      <w:r>
        <w:rPr>
          <w:rFonts w:ascii="Arial" w:cs="Arial" w:eastAsia="Arial" w:hAnsi="Arial"/>
          <w:b/>
          <w:bCs/>
          <w:sz w:val="24"/>
          <w:szCs w:val="24"/>
        </w:rPr>
        <w:t xml:space="preserve">Таблица 2. Средний живой вес одной головы скота, реализованного на убой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9"/>
        <w:gridCol w:w="785"/>
        <w:gridCol w:w="785"/>
        <w:gridCol w:w="785"/>
        <w:gridCol w:w="785"/>
        <w:gridCol w:w="785"/>
        <w:gridCol w:w="785"/>
        <w:gridCol w:w="785"/>
        <w:gridCol w:w="785"/>
        <w:gridCol w:w="785"/>
      </w:tblGrid>
      <w:tr>
        <w:tc>
          <w:tcPr>
            <w:tcW w:type="dxa" w:w="31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и козы,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r>
    </w:tbl>
    <w:p>
      <w:pPr>
        <w:spacing w:after="120" w:before="120"/>
        <w:ind w:firstLine="567"/>
        <w:jc w:val="both"/>
      </w:pPr>
      <w:r>
        <w:rPr>
          <w:rFonts w:ascii="Arial" w:cs="Arial" w:eastAsia="Arial" w:hAnsi="Arial"/>
          <w:sz w:val="24"/>
          <w:szCs w:val="24"/>
        </w:rPr>
        <w:t xml:space="preserve">Как показывает таблица 2, в Кыргызской Республике наблюдается тенденция снижения живого веса одной головы скота. Так, ранее показатель среднего живого веса крупного рогатого скота с 2015 по 2023 год снизился с отметки 280 кг до 273 кг. Тенденция наблюдается со средним живым весом одной головы скота среди лошадей. Такая отрицательная динамика обусловлена процессом истощения пастбищ в стране, а также увеличением поголовья крупного рогатого скота и лошадей в сельской местности, которые выступают для граждан в виде вложений капитала.</w:t>
      </w:r>
    </w:p>
    <w:p>
      <w:pPr>
        <w:spacing w:after="120"/>
        <w:ind w:firstLine="567"/>
        <w:jc w:val="both"/>
      </w:pPr>
      <w:r>
        <w:rPr>
          <w:rFonts w:ascii="Arial" w:cs="Arial" w:eastAsia="Arial" w:hAnsi="Arial"/>
          <w:b/>
          <w:bCs/>
          <w:sz w:val="24"/>
          <w:szCs w:val="24"/>
        </w:rPr>
        <w:t xml:space="preserve">Таблица 3. Продуктивность скота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633"/>
        <w:gridCol w:w="633"/>
        <w:gridCol w:w="633"/>
        <w:gridCol w:w="633"/>
        <w:gridCol w:w="633"/>
        <w:gridCol w:w="633"/>
        <w:gridCol w:w="633"/>
        <w:gridCol w:w="633"/>
      </w:tblGrid>
      <w:tr>
        <w:tc>
          <w:tcPr>
            <w:tcW w:type="dxa" w:w="51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w:t>
            </w:r>
          </w:p>
        </w:tc>
      </w:tr>
      <w:tr>
        <w:tc>
          <w:tcPr>
            <w:tcW w:type="dxa" w:w="5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годовой надой молока от одной коровы, кг</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r>
      <w:tr>
        <w:tc>
          <w:tcPr>
            <w:tcW w:type="dxa" w:w="5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годовой настриг шерсти с одной овцы (в физическом весе), кг</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before="120"/>
        <w:ind w:firstLine="567"/>
        <w:jc w:val="both"/>
      </w:pPr>
      <w:r>
        <w:rPr>
          <w:rFonts w:ascii="Arial" w:cs="Arial" w:eastAsia="Arial" w:hAnsi="Arial"/>
          <w:sz w:val="24"/>
          <w:szCs w:val="24"/>
        </w:rPr>
        <w:t xml:space="preserve">Таблица 3 отражает сведения о продуктивности скота. Так, с 2016 по 2023 год динамика показателя среднего годового надоя молока от одной коровы выросла. Если на начало рассматриваемого периода надой молока составлял 1978 кг, то уже к 2023 году этот показатель составил 2022 кг, но в 1990 году он составлял более 3000 кг с одной коровы.</w:t>
      </w:r>
    </w:p>
    <w:p>
      <w:pPr>
        <w:spacing w:after="120"/>
        <w:ind w:firstLine="567"/>
        <w:jc w:val="both"/>
      </w:pPr>
      <w:r>
        <w:rPr>
          <w:rFonts w:ascii="Arial" w:cs="Arial" w:eastAsia="Arial" w:hAnsi="Arial"/>
          <w:sz w:val="24"/>
          <w:szCs w:val="24"/>
        </w:rPr>
        <w:t xml:space="preserve">Это говорит о том, что фермеры-животноводы научились подбирать породы молочных коров, их рацион питания, а также условия содержания.</w:t>
      </w:r>
    </w:p>
    <w:p>
      <w:pPr>
        <w:spacing w:after="120"/>
        <w:ind w:firstLine="567"/>
        <w:jc w:val="both"/>
      </w:pPr>
      <w:r>
        <w:rPr>
          <w:rFonts w:ascii="Arial" w:cs="Arial" w:eastAsia="Arial" w:hAnsi="Arial"/>
          <w:sz w:val="24"/>
          <w:szCs w:val="24"/>
        </w:rPr>
        <w:t xml:space="preserve">На сегодня экспорт продукции сельского хозяйства происходит несколькими путями.</w:t>
      </w:r>
    </w:p>
    <w:p>
      <w:pPr>
        <w:spacing w:after="120"/>
        <w:ind w:firstLine="567"/>
        <w:jc w:val="both"/>
      </w:pPr>
      <w:r>
        <w:rPr>
          <w:rFonts w:ascii="Arial" w:cs="Arial" w:eastAsia="Arial" w:hAnsi="Arial"/>
          <w:sz w:val="24"/>
          <w:szCs w:val="24"/>
        </w:rPr>
        <w:t xml:space="preserve">1. Экспорт в сыром виде с минимальной обработкой в виде чистки, калибровки, расфасовки-хранения-логистики в правильных условиях (температура, влажность). Здесь присутствуют игроки в виде: а) фермеров, которые сами пытаются продать свою продукцию за границу (у многих фермеров имеются небольшие холодильные хранилища); б) компаний-грузоперевозчиков ("Глобалика", "Экзотика", "UBS tranzit"), имеющих контракты на поставку сельхозпродукции за границу; в) компаний, имеющих свои логистические центры ("Кыргыз Центр Продукт", "Оберон", "Агро Продукт Азия") с условиями хранения и минимальной переработкой. В основном это следующие сельхозкультуры: картошка, кукуруза, овощи, фрукты, ягоды, фасоль, орех, молоко в молоковозах, рыба свежая и т.д.</w:t>
      </w:r>
    </w:p>
    <w:p>
      <w:pPr>
        <w:spacing w:after="120"/>
        <w:ind w:firstLine="567"/>
        <w:jc w:val="both"/>
      </w:pPr>
      <w:r>
        <w:rPr>
          <w:rFonts w:ascii="Arial" w:cs="Arial" w:eastAsia="Arial" w:hAnsi="Arial"/>
          <w:sz w:val="24"/>
          <w:szCs w:val="24"/>
        </w:rPr>
        <w:t xml:space="preserve">2. Экспорт через компании со средней степенью переработки в виде сушки, расфасовки и хранения. В основном это следующие сельхозкультуры: абрикос, чернослив, шиповник, яблоки, груши, расфасованное мясо и молоко, рыба расфасованная, мед расфасованный, продукты шоковой заморозки и т.д.</w:t>
      </w:r>
    </w:p>
    <w:p>
      <w:pPr>
        <w:spacing w:after="120"/>
        <w:ind w:firstLine="567"/>
        <w:jc w:val="both"/>
      </w:pPr>
      <w:r>
        <w:rPr>
          <w:rFonts w:ascii="Arial" w:cs="Arial" w:eastAsia="Arial" w:hAnsi="Arial"/>
          <w:sz w:val="24"/>
          <w:szCs w:val="24"/>
        </w:rPr>
        <w:t xml:space="preserve">3. Экспорт через компании с глубокой степенью переработки (консервы плодоовощные и мясные, соки, джемы, снеки, сублимация, колбасы, полуфабрикаты, масло, сыры).</w:t>
      </w:r>
    </w:p>
    <w:p>
      <w:pPr>
        <w:spacing w:after="120"/>
        <w:ind w:firstLine="567"/>
        <w:jc w:val="both"/>
      </w:pPr>
      <w:r>
        <w:rPr>
          <w:rFonts w:ascii="Arial" w:cs="Arial" w:eastAsia="Arial" w:hAnsi="Arial"/>
          <w:sz w:val="24"/>
          <w:szCs w:val="24"/>
        </w:rPr>
        <w:t xml:space="preserve">В свою очередь, компании-переработчики можно поделить на три категории:</w:t>
      </w:r>
    </w:p>
    <w:p>
      <w:pPr>
        <w:spacing w:after="120"/>
        <w:ind w:firstLine="567"/>
        <w:jc w:val="both"/>
      </w:pPr>
      <w:r>
        <w:rPr>
          <w:rFonts w:ascii="Arial" w:cs="Arial" w:eastAsia="Arial" w:hAnsi="Arial"/>
          <w:sz w:val="24"/>
          <w:szCs w:val="24"/>
        </w:rPr>
        <w:t xml:space="preserve">1. Компании, покупающие сырье у разных фермеров и поставщиков (закупающие мясо, молоко у населения). У данных компаний ("Органик", "Атаман", "Риха", "Салих", "Тойбосс", "Кант-Сут", "Умут", "Веселый молочник", "Куликовский", "Нукура", "Данеко", "Сары кыз", "Жети баатыр" и др.) имеются риски недобора сырья или получения продукции, не соответствующей необходимому качеству (применение антибиотиков, ветеринарных препаратов, кормовых добавок и премиксов, влияющих на качество продуктов питания).</w:t>
      </w:r>
    </w:p>
    <w:p>
      <w:pPr>
        <w:spacing w:after="120"/>
        <w:ind w:firstLine="567"/>
        <w:jc w:val="both"/>
      </w:pPr>
      <w:r>
        <w:rPr>
          <w:rFonts w:ascii="Arial" w:cs="Arial" w:eastAsia="Arial" w:hAnsi="Arial"/>
          <w:sz w:val="24"/>
          <w:szCs w:val="24"/>
        </w:rPr>
        <w:t xml:space="preserve">2. Компании, сами привозящие семена, методологию выращивания и т.д. и заказывающие у фермеров услуги выращивания на их землях. Здесь имеется риск предложения низкой маржи фермеру, из-за чего будет мало желающих выращивать (такие компании, как "Каинды-Кант", "Продимпекс", "Бай элим", "Айлана" и др.).</w:t>
      </w:r>
    </w:p>
    <w:p>
      <w:pPr>
        <w:spacing w:after="120"/>
        <w:ind w:firstLine="567"/>
        <w:jc w:val="both"/>
      </w:pPr>
      <w:r>
        <w:rPr>
          <w:rFonts w:ascii="Arial" w:cs="Arial" w:eastAsia="Arial" w:hAnsi="Arial"/>
          <w:sz w:val="24"/>
          <w:szCs w:val="24"/>
        </w:rPr>
        <w:t xml:space="preserve">3. Компании, сами выращивающие продукцию на своих или арендованных землях (свой скот для мяса и молока, хлопок для производства тканей). Эти компании ("Аталык групп", "Чабрец", "АгроКуш", "Текстиль Транс") подвержены риску нехватки земли и рискам крупной компании.</w:t>
      </w:r>
    </w:p>
    <w:p>
      <w:pPr>
        <w:spacing w:after="120"/>
        <w:ind w:firstLine="567"/>
        <w:jc w:val="both"/>
      </w:pPr>
      <w:r>
        <w:rPr>
          <w:rFonts w:ascii="Arial" w:cs="Arial" w:eastAsia="Arial" w:hAnsi="Arial"/>
          <w:sz w:val="24"/>
          <w:szCs w:val="24"/>
        </w:rPr>
        <w:t xml:space="preserve">Сельскохозяйственная отрасль при правильном подходе может обеспечить хорошие объемы экспорта и притока валюты из-за границы для улучшения благосостояния граждан. Объемы и конкурентоспособность экспортной сельскохозяйственной продукции полностью зависит от качества и использования последних технологических достижений при ее выращивании и переработке.</w:t>
      </w:r>
    </w:p>
    <w:p>
      <w:pPr>
        <w:spacing w:after="120"/>
        <w:ind w:firstLine="567"/>
        <w:jc w:val="both"/>
      </w:pPr>
      <w:r>
        <w:rPr>
          <w:rFonts w:ascii="Arial" w:cs="Arial" w:eastAsia="Arial" w:hAnsi="Arial"/>
          <w:sz w:val="24"/>
          <w:szCs w:val="24"/>
        </w:rPr>
        <w:t xml:space="preserve">При этом Кыргызская Республика в настоящее время сталкивается с проблемой выпуска готовой экспортной сельскохозяйственной продукции с высокой добавленной стоимостью и более высоким качеством, отвечающим требованиям международных стандартов в части качества и пищевой безопасности.</w:t>
      </w:r>
    </w:p>
    <w:p>
      <w:pPr>
        <w:spacing w:after="120"/>
        <w:ind w:firstLine="567"/>
        <w:jc w:val="both"/>
      </w:pPr>
      <w:r>
        <w:rPr>
          <w:rFonts w:ascii="Arial" w:cs="Arial" w:eastAsia="Arial" w:hAnsi="Arial"/>
          <w:sz w:val="24"/>
          <w:szCs w:val="24"/>
        </w:rPr>
        <w:t xml:space="preserve">Вместе с тем швейная отрасль Кыргызской Республики также показывает себя как серьезный локомотив для быстрого создания рабочих мест и появления заработка у населения начиная с 2008 года с момента применения патентной системы налогообложения. В Кыргызской Республике швейные цеха заняли свою нишу на рынке стран СНГ, в особенности на рынках Российской Федерации, благодаря умению быстро подстраиваться под сезон и предпочтения потребителей целевых рынков. Имея доступ к сырьевой базе (ткани, фурнитура) с КНР, Турции, Южной Кореи, Узбекистана и других стран, отечественная швейная отрасль оперативно обеспечивает качественной продукцией рынки целевых стран.</w:t>
      </w:r>
    </w:p>
    <w:p>
      <w:pPr>
        <w:spacing w:after="120"/>
        <w:ind w:firstLine="567"/>
        <w:jc w:val="both"/>
      </w:pPr>
      <w:r>
        <w:rPr>
          <w:rFonts w:ascii="Arial" w:cs="Arial" w:eastAsia="Arial" w:hAnsi="Arial"/>
          <w:sz w:val="24"/>
          <w:szCs w:val="24"/>
        </w:rPr>
        <w:t xml:space="preserve">За последние 2-3 года основным производственным регионом является Бишкек и районы Чуйской области, близкие к столице. Ввиду удорожания цен на рабочую силу и их дефицита швейные цеха начали также открываться и в других регионах страны. Бизнес-модели швейных цехов можно условно разделить на три группы:</w:t>
      </w:r>
    </w:p>
    <w:p>
      <w:pPr>
        <w:spacing w:after="120"/>
        <w:ind w:firstLine="567"/>
        <w:jc w:val="both"/>
      </w:pPr>
      <w:r>
        <w:rPr>
          <w:rFonts w:ascii="Arial" w:cs="Arial" w:eastAsia="Arial" w:hAnsi="Arial"/>
          <w:sz w:val="24"/>
          <w:szCs w:val="24"/>
        </w:rPr>
        <w:t xml:space="preserve">1) 60% - это мелкие швейные цеха по 5-15 машинок, в том числе надомники. Здесь работают 9 швей на одного утюжника, 1 закройщик и 1 упаковщик по необходимости. В данной бизнес-модели одной из основных проблем для цеха является неустойчивость заказов, но плюсом, в особенности для женщин, является возможность работать дома, вплоть до деятельности таких цехов в отдаленных селах. Для заказчиков плюсом является возможность получать свои изделия, не инвестируя в строительство и функционирование цеха, но минус заключается в логистических издержках по времени и деньгам. Есть высокие риски в области контроля качества;</w:t>
      </w:r>
    </w:p>
    <w:p>
      <w:pPr>
        <w:spacing w:after="120"/>
        <w:ind w:firstLine="567"/>
        <w:jc w:val="both"/>
      </w:pPr>
      <w:r>
        <w:rPr>
          <w:rFonts w:ascii="Arial" w:cs="Arial" w:eastAsia="Arial" w:hAnsi="Arial"/>
          <w:sz w:val="24"/>
          <w:szCs w:val="24"/>
        </w:rPr>
        <w:t xml:space="preserve">2) 30% - это средние швейные цеха по 20-50 швейных машинок. Для данных цехов имеются следующие проблемы: наличие опытных работниц, капиталозатраты, поиск заказов, вопросы налогообложения и логистики;</w:t>
      </w:r>
    </w:p>
    <w:p>
      <w:pPr>
        <w:spacing w:after="120"/>
        <w:ind w:firstLine="567"/>
        <w:jc w:val="both"/>
      </w:pPr>
      <w:r>
        <w:rPr>
          <w:rFonts w:ascii="Arial" w:cs="Arial" w:eastAsia="Arial" w:hAnsi="Arial"/>
          <w:sz w:val="24"/>
          <w:szCs w:val="24"/>
        </w:rPr>
        <w:t xml:space="preserve">3) 10% - крупные швейные цеха, по более чем 70 машинок ("Cool Broth", "Салкын", "Транс Текстиль" и др.). Здесь важными моментами являются наличие опыта, стабильность крупных заказов и т.д.</w:t>
      </w:r>
    </w:p>
    <w:p>
      <w:pPr>
        <w:spacing w:after="120"/>
        <w:ind w:firstLine="567"/>
        <w:jc w:val="both"/>
      </w:pPr>
      <w:r>
        <w:rPr>
          <w:rFonts w:ascii="Arial" w:cs="Arial" w:eastAsia="Arial" w:hAnsi="Arial"/>
          <w:sz w:val="24"/>
          <w:szCs w:val="24"/>
        </w:rPr>
        <w:t xml:space="preserve">Стоит отметить, что в швейной отрасли задействованы свыше 300 тыс. граждан, получающих конкурентную заработную плату. Отрасль занимает третье место по экспорту, после драгоценных металлов и сельскохозяйственной продукции.</w:t>
      </w:r>
    </w:p>
    <w:p>
      <w:pPr>
        <w:spacing w:after="120"/>
        <w:ind w:firstLine="567"/>
        <w:jc w:val="both"/>
      </w:pPr>
      <w:r>
        <w:rPr>
          <w:rFonts w:ascii="Arial" w:cs="Arial" w:eastAsia="Arial" w:hAnsi="Arial"/>
          <w:sz w:val="24"/>
          <w:szCs w:val="24"/>
        </w:rPr>
        <w:t xml:space="preserve">В связи с введением санкций против России открылись широкие возможности для Кыргызской Республики в части покрытия дефицита одежды и обуви. Также имеется возможность обеспечить отечественный швейный сектор собственным сырьем на 50% за счет собственных хлопка, шерсти, синтетических тканей. При этом отечественные компании готовы работать с компаниями международного уровня. В отрасли отмечается ряд проблем, в частности, невозврат НДС, что приводит к резкому удорожанию всего производства, отсутствие возможности на операционном уровне решать задачи закупа сырья, получения кредита, нехватки квалифицированных кадров и др. Швейная отрасль, производящая готовую продукцию, безусловно, является самым развитым звеном в цепочке добавленной стоимости. Ее развитие стало возможным благодаря конкурентным преимуществам (гибкая рабочая сила, относительно налаженная логистика, которая не требует определенного температурного режима или иных специфичных условий хранения), в отличие от агропромышленного сектора.</w:t>
      </w:r>
    </w:p>
    <w:p>
      <w:pPr>
        <w:spacing w:after="120"/>
        <w:ind w:firstLine="567"/>
        <w:jc w:val="both"/>
      </w:pPr>
      <w:r>
        <w:rPr>
          <w:rFonts w:ascii="Arial" w:cs="Arial" w:eastAsia="Arial" w:hAnsi="Arial"/>
          <w:sz w:val="24"/>
          <w:szCs w:val="24"/>
        </w:rPr>
        <w:t xml:space="preserve">На основании вышеизложенного, с целью повышения конкурентоспособности отечественной продукции в приоритетных секторах экономики, имеющей преимущественный потенциал увеличения экспорта, а также с учетом проведенного анализа экспортного потенциала Кыргызской Республики в рамках Национальной экспортной программы "Сделано в Кыргызстане" на 2025-2028 годы (далее - Программа) поддержка и развитие будут нацелены на следующую товарную структуру экспорта, но не ограничиваясь этим перечнем, включая продукцию халал-индустрии:</w:t>
      </w:r>
    </w:p>
    <w:p>
      <w:pPr>
        <w:spacing w:after="120"/>
        <w:ind w:firstLine="567"/>
        <w:jc w:val="both"/>
      </w:pPr>
      <w:r>
        <w:rPr>
          <w:rFonts w:ascii="Arial" w:cs="Arial" w:eastAsia="Arial" w:hAnsi="Arial"/>
          <w:sz w:val="24"/>
          <w:szCs w:val="24"/>
        </w:rPr>
        <w:t xml:space="preserve">1) текстиль и швейная продукция, в том числе традиционные изделия ручной работы и обувь;</w:t>
      </w:r>
    </w:p>
    <w:p>
      <w:pPr>
        <w:spacing w:after="120"/>
        <w:ind w:firstLine="567"/>
        <w:jc w:val="both"/>
      </w:pPr>
      <w:r>
        <w:rPr>
          <w:rFonts w:ascii="Arial" w:cs="Arial" w:eastAsia="Arial" w:hAnsi="Arial"/>
          <w:sz w:val="24"/>
          <w:szCs w:val="24"/>
        </w:rPr>
        <w:t xml:space="preserve">2) готовая продукция из фруктов, овощей;</w:t>
      </w:r>
    </w:p>
    <w:p>
      <w:pPr>
        <w:spacing w:after="120"/>
        <w:ind w:firstLine="567"/>
        <w:jc w:val="both"/>
      </w:pPr>
      <w:r>
        <w:rPr>
          <w:rFonts w:ascii="Arial" w:cs="Arial" w:eastAsia="Arial" w:hAnsi="Arial"/>
          <w:sz w:val="24"/>
          <w:szCs w:val="24"/>
        </w:rPr>
        <w:t xml:space="preserve">3) готовая продукция из орехов и бобов;</w:t>
      </w:r>
    </w:p>
    <w:p>
      <w:pPr>
        <w:spacing w:after="120"/>
        <w:ind w:firstLine="567"/>
        <w:jc w:val="both"/>
      </w:pPr>
      <w:r>
        <w:rPr>
          <w:rFonts w:ascii="Arial" w:cs="Arial" w:eastAsia="Arial" w:hAnsi="Arial"/>
          <w:sz w:val="24"/>
          <w:szCs w:val="24"/>
        </w:rPr>
        <w:t xml:space="preserve">4) готовая сушеная продукция;</w:t>
      </w:r>
    </w:p>
    <w:p>
      <w:pPr>
        <w:spacing w:after="120"/>
        <w:ind w:firstLine="567"/>
        <w:jc w:val="both"/>
      </w:pPr>
      <w:r>
        <w:rPr>
          <w:rFonts w:ascii="Arial" w:cs="Arial" w:eastAsia="Arial" w:hAnsi="Arial"/>
          <w:sz w:val="24"/>
          <w:szCs w:val="24"/>
        </w:rPr>
        <w:t xml:space="preserve">5) мед и продукция пчеловодства;</w:t>
      </w:r>
    </w:p>
    <w:p>
      <w:pPr>
        <w:spacing w:after="120"/>
        <w:ind w:firstLine="567"/>
        <w:jc w:val="both"/>
      </w:pPr>
      <w:r>
        <w:rPr>
          <w:rFonts w:ascii="Arial" w:cs="Arial" w:eastAsia="Arial" w:hAnsi="Arial"/>
          <w:sz w:val="24"/>
          <w:szCs w:val="24"/>
        </w:rPr>
        <w:t xml:space="preserve">6) молочная продукция;</w:t>
      </w:r>
    </w:p>
    <w:p>
      <w:pPr>
        <w:spacing w:after="120"/>
        <w:ind w:firstLine="567"/>
        <w:jc w:val="both"/>
      </w:pPr>
      <w:r>
        <w:rPr>
          <w:rFonts w:ascii="Arial" w:cs="Arial" w:eastAsia="Arial" w:hAnsi="Arial"/>
          <w:sz w:val="24"/>
          <w:szCs w:val="24"/>
        </w:rPr>
        <w:t xml:space="preserve">7) мясная и рыбная продукция;</w:t>
      </w:r>
    </w:p>
    <w:p>
      <w:pPr>
        <w:spacing w:after="120"/>
        <w:ind w:firstLine="567"/>
        <w:jc w:val="both"/>
      </w:pPr>
      <w:r>
        <w:rPr>
          <w:rFonts w:ascii="Arial" w:cs="Arial" w:eastAsia="Arial" w:hAnsi="Arial"/>
          <w:sz w:val="24"/>
          <w:szCs w:val="24"/>
        </w:rPr>
        <w:t xml:space="preserve">8) ювелирные изделия;</w:t>
      </w:r>
    </w:p>
    <w:p>
      <w:pPr>
        <w:spacing w:after="120"/>
        <w:ind w:firstLine="567"/>
        <w:jc w:val="both"/>
      </w:pPr>
      <w:r>
        <w:rPr>
          <w:rFonts w:ascii="Arial" w:cs="Arial" w:eastAsia="Arial" w:hAnsi="Arial"/>
          <w:sz w:val="24"/>
          <w:szCs w:val="24"/>
        </w:rPr>
        <w:t xml:space="preserve">9) безалкогольные напитки, включая национальные.</w:t>
      </w:r>
    </w:p>
    <w:p>
      <w:pPr>
        <w:spacing w:after="120"/>
        <w:ind w:firstLine="567"/>
        <w:jc w:val="both"/>
      </w:pPr>
      <w:r>
        <w:rPr>
          <w:rFonts w:ascii="Arial" w:cs="Arial" w:eastAsia="Arial" w:hAnsi="Arial"/>
          <w:b/>
          <w:bCs/>
          <w:sz w:val="24"/>
          <w:szCs w:val="24"/>
        </w:rPr>
        <w:t xml:space="preserve">Текстиль и швейная продукция, в том числе традиционные изделия ручной работы и обувь</w:t>
      </w:r>
    </w:p>
    <w:p>
      <w:pPr>
        <w:spacing w:after="120"/>
        <w:ind w:firstLine="567"/>
        <w:jc w:val="both"/>
      </w:pPr>
      <w:r>
        <w:rPr>
          <w:rFonts w:ascii="Arial" w:cs="Arial" w:eastAsia="Arial" w:hAnsi="Arial"/>
          <w:sz w:val="24"/>
          <w:szCs w:val="24"/>
        </w:rPr>
        <w:t xml:space="preserve">В товарной структуре экспорта на товарные группы "Текстиль" в 2023 году объем экспорта составил 194 млн. долларов США, из них следует выделить следующие товарные группы:</w:t>
      </w:r>
    </w:p>
    <w:p>
      <w:pPr>
        <w:spacing w:after="120"/>
        <w:ind w:firstLine="567"/>
        <w:jc w:val="both"/>
      </w:pPr>
      <w:r>
        <w:rPr>
          <w:rFonts w:ascii="Arial" w:cs="Arial" w:eastAsia="Arial" w:hAnsi="Arial"/>
          <w:sz w:val="24"/>
          <w:szCs w:val="24"/>
        </w:rPr>
        <w:t xml:space="preserve">- код ТН ВЭД 61 - предмет одежды и принадлежности к одежде, трикотажные машинного или ручного вязания;</w:t>
      </w:r>
    </w:p>
    <w:p>
      <w:pPr>
        <w:spacing w:after="120"/>
        <w:ind w:firstLine="567"/>
        <w:jc w:val="both"/>
      </w:pPr>
      <w:r>
        <w:rPr>
          <w:rFonts w:ascii="Arial" w:cs="Arial" w:eastAsia="Arial" w:hAnsi="Arial"/>
          <w:sz w:val="24"/>
          <w:szCs w:val="24"/>
        </w:rPr>
        <w:t xml:space="preserve">- код ТН ВЭД 52 - изделия из хлопка;</w:t>
      </w:r>
    </w:p>
    <w:p>
      <w:pPr>
        <w:spacing w:after="120"/>
        <w:ind w:firstLine="567"/>
        <w:jc w:val="both"/>
      </w:pPr>
      <w:r>
        <w:rPr>
          <w:rFonts w:ascii="Arial" w:cs="Arial" w:eastAsia="Arial" w:hAnsi="Arial"/>
          <w:sz w:val="24"/>
          <w:szCs w:val="24"/>
        </w:rPr>
        <w:t xml:space="preserve">- код ТН ВЭД 62 - предметы одежды и принадлежности к одежде, кроме трикотажных машинного или ручного вязания;</w:t>
      </w:r>
    </w:p>
    <w:p>
      <w:pPr>
        <w:spacing w:after="120"/>
        <w:ind w:firstLine="567"/>
        <w:jc w:val="both"/>
      </w:pPr>
      <w:r>
        <w:rPr>
          <w:rFonts w:ascii="Arial" w:cs="Arial" w:eastAsia="Arial" w:hAnsi="Arial"/>
          <w:sz w:val="24"/>
          <w:szCs w:val="24"/>
        </w:rPr>
        <w:t xml:space="preserve">- код ТН ВЭД 54 - химические нити; плоские и аналогичные нити из химических текстильных материалов;</w:t>
      </w:r>
    </w:p>
    <w:p>
      <w:pPr>
        <w:spacing w:after="120"/>
        <w:ind w:firstLine="567"/>
        <w:jc w:val="both"/>
      </w:pPr>
      <w:r>
        <w:rPr>
          <w:rFonts w:ascii="Arial" w:cs="Arial" w:eastAsia="Arial" w:hAnsi="Arial"/>
          <w:sz w:val="24"/>
          <w:szCs w:val="24"/>
        </w:rPr>
        <w:t xml:space="preserve">- код ТН ВЭД 94 - мебель; постельные принадлежности, матрацы, основы матрацные, диванные подушки и аналогичные набивные принадлежности мебели; светильники и осветительное оборудование, в другом месте не поименованные или не включенные; световые вывески, световые таблички с именем или названием, или адресом и аналогичные изделия;</w:t>
      </w:r>
    </w:p>
    <w:p>
      <w:pPr>
        <w:spacing w:after="120"/>
        <w:ind w:firstLine="567"/>
        <w:jc w:val="both"/>
      </w:pPr>
      <w:r>
        <w:rPr>
          <w:rFonts w:ascii="Arial" w:cs="Arial" w:eastAsia="Arial" w:hAnsi="Arial"/>
          <w:sz w:val="24"/>
          <w:szCs w:val="24"/>
        </w:rPr>
        <w:t xml:space="preserve">- код ТН ВЭД 63 - прочие готовые текстильные изделия; одежда и текстильные изделия, бывшие в употреблении; тряпье;</w:t>
      </w:r>
    </w:p>
    <w:p>
      <w:pPr>
        <w:spacing w:after="120"/>
        <w:ind w:firstLine="567"/>
        <w:jc w:val="both"/>
      </w:pPr>
      <w:r>
        <w:rPr>
          <w:rFonts w:ascii="Arial" w:cs="Arial" w:eastAsia="Arial" w:hAnsi="Arial"/>
          <w:sz w:val="24"/>
          <w:szCs w:val="24"/>
        </w:rPr>
        <w:t xml:space="preserve">- код ТН ВЭД 51 - шерсть, тонкий или грубый волос животных; пряжа и ткань, из конского волоса;</w:t>
      </w:r>
    </w:p>
    <w:p>
      <w:pPr>
        <w:spacing w:after="120"/>
        <w:ind w:firstLine="567"/>
        <w:jc w:val="both"/>
      </w:pPr>
      <w:r>
        <w:rPr>
          <w:rFonts w:ascii="Arial" w:cs="Arial" w:eastAsia="Arial" w:hAnsi="Arial"/>
          <w:sz w:val="24"/>
          <w:szCs w:val="24"/>
        </w:rPr>
        <w:t xml:space="preserve">- код ТН ВЭД 60 - трикотажные полотна машинного или ручного вязания;</w:t>
      </w:r>
    </w:p>
    <w:p>
      <w:pPr>
        <w:spacing w:after="120"/>
        <w:ind w:firstLine="567"/>
        <w:jc w:val="both"/>
      </w:pPr>
      <w:r>
        <w:rPr>
          <w:rFonts w:ascii="Arial" w:cs="Arial" w:eastAsia="Arial" w:hAnsi="Arial"/>
          <w:sz w:val="24"/>
          <w:szCs w:val="24"/>
        </w:rPr>
        <w:t xml:space="preserve">- код ТН ВЭД 57 - ковры и прочие текстильные напольные покрытия;</w:t>
      </w:r>
    </w:p>
    <w:p>
      <w:pPr>
        <w:spacing w:after="120"/>
        <w:ind w:firstLine="567"/>
        <w:jc w:val="both"/>
      </w:pPr>
      <w:r>
        <w:rPr>
          <w:rFonts w:ascii="Arial" w:cs="Arial" w:eastAsia="Arial" w:hAnsi="Arial"/>
          <w:sz w:val="24"/>
          <w:szCs w:val="24"/>
        </w:rPr>
        <w:t xml:space="preserve">- код ТН ВЭД 55 - химические волокна;</w:t>
      </w:r>
    </w:p>
    <w:p>
      <w:pPr>
        <w:spacing w:after="120"/>
        <w:ind w:firstLine="567"/>
        <w:jc w:val="both"/>
      </w:pPr>
      <w:r>
        <w:rPr>
          <w:rFonts w:ascii="Arial" w:cs="Arial" w:eastAsia="Arial" w:hAnsi="Arial"/>
          <w:sz w:val="24"/>
          <w:szCs w:val="24"/>
        </w:rPr>
        <w:t xml:space="preserve">- код ТН ВЭД 65 - головные уборы и их части.</w:t>
      </w:r>
    </w:p>
    <w:p>
      <w:pPr>
        <w:spacing w:after="120"/>
        <w:ind w:firstLine="567"/>
        <w:jc w:val="both"/>
      </w:pPr>
      <w:r>
        <w:rPr>
          <w:rFonts w:ascii="Arial" w:cs="Arial" w:eastAsia="Arial" w:hAnsi="Arial"/>
          <w:sz w:val="24"/>
          <w:szCs w:val="24"/>
        </w:rPr>
        <w:t xml:space="preserve">Экспортными рынками для товарных групп "Текстиль" выделяются следующие страны-импортеры,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Казахстан; 3) Турция; 4) Иран; 5) Китай; 6) Узбекистан.</w:t>
      </w:r>
    </w:p>
    <w:p>
      <w:pPr>
        <w:spacing w:after="120"/>
        <w:ind w:firstLine="567"/>
        <w:jc w:val="both"/>
      </w:pPr>
      <w:r>
        <w:rPr>
          <w:rFonts w:ascii="Arial" w:cs="Arial" w:eastAsia="Arial" w:hAnsi="Arial"/>
          <w:b/>
          <w:bCs/>
          <w:sz w:val="24"/>
          <w:szCs w:val="24"/>
        </w:rPr>
        <w:t xml:space="preserve">Готовая продукция из фруктов, овощей, готовая продукция из орехов и бобов, готовая сушеная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товарные группы 07 и 08 в 2023 году объем экспорта составил 155,7 млн. долларов США, из них следует выделить следующие топ-10 товарных позиций:</w:t>
      </w:r>
    </w:p>
    <w:p>
      <w:pPr>
        <w:spacing w:after="120"/>
        <w:ind w:firstLine="567"/>
        <w:jc w:val="both"/>
      </w:pPr>
      <w:r>
        <w:rPr>
          <w:rFonts w:ascii="Arial" w:cs="Arial" w:eastAsia="Arial" w:hAnsi="Arial"/>
          <w:sz w:val="24"/>
          <w:szCs w:val="24"/>
        </w:rPr>
        <w:t xml:space="preserve">- код ТН ВЭД 0713 - овощи бобовые сушеные, лущеные, очищенные от семенной кожуры или неочищенные, колотые или не колотые;</w:t>
      </w:r>
    </w:p>
    <w:p>
      <w:pPr>
        <w:spacing w:after="120"/>
        <w:ind w:firstLine="567"/>
        <w:jc w:val="both"/>
      </w:pPr>
      <w:r>
        <w:rPr>
          <w:rFonts w:ascii="Arial" w:cs="Arial" w:eastAsia="Arial" w:hAnsi="Arial"/>
          <w:sz w:val="24"/>
          <w:szCs w:val="24"/>
        </w:rPr>
        <w:t xml:space="preserve">- код ТН ВЭД 0813 - фрукты сушеные (кроме плодов товарных позиций 0801-0806); смеси орехов или сушеных плодов данной группы;</w:t>
      </w:r>
    </w:p>
    <w:p>
      <w:pPr>
        <w:spacing w:after="120"/>
        <w:ind w:firstLine="567"/>
        <w:jc w:val="both"/>
      </w:pPr>
      <w:r>
        <w:rPr>
          <w:rFonts w:ascii="Arial" w:cs="Arial" w:eastAsia="Arial" w:hAnsi="Arial"/>
          <w:sz w:val="24"/>
          <w:szCs w:val="24"/>
        </w:rPr>
        <w:t xml:space="preserve">- код ТН ВЭД 0802 - прочие орехи, свежие или сушеные, очищенные от скорлупы или неочищенные, с кожурой или без кожуры;</w:t>
      </w:r>
    </w:p>
    <w:p>
      <w:pPr>
        <w:spacing w:after="120"/>
        <w:ind w:firstLine="567"/>
        <w:jc w:val="both"/>
      </w:pPr>
      <w:r>
        <w:rPr>
          <w:rFonts w:ascii="Arial" w:cs="Arial" w:eastAsia="Arial" w:hAnsi="Arial"/>
          <w:sz w:val="24"/>
          <w:szCs w:val="24"/>
        </w:rPr>
        <w:t xml:space="preserve">- код ТН ВЭД 0701 - картофель свежий или охлажденный;</w:t>
      </w:r>
    </w:p>
    <w:p>
      <w:pPr>
        <w:spacing w:after="120"/>
        <w:ind w:firstLine="567"/>
        <w:jc w:val="both"/>
      </w:pPr>
      <w:r>
        <w:rPr>
          <w:rFonts w:ascii="Arial" w:cs="Arial" w:eastAsia="Arial" w:hAnsi="Arial"/>
          <w:sz w:val="24"/>
          <w:szCs w:val="24"/>
        </w:rPr>
        <w:t xml:space="preserve">- код ТН ВЭД 0809 - абрикосы, вишня и черешня, персики (включая нектарины), сливы и терн, свежие;</w:t>
      </w:r>
    </w:p>
    <w:p>
      <w:pPr>
        <w:spacing w:after="120"/>
        <w:ind w:firstLine="567"/>
        <w:jc w:val="both"/>
      </w:pPr>
      <w:r>
        <w:rPr>
          <w:rFonts w:ascii="Arial" w:cs="Arial" w:eastAsia="Arial" w:hAnsi="Arial"/>
          <w:sz w:val="24"/>
          <w:szCs w:val="24"/>
        </w:rPr>
        <w:t xml:space="preserve">- код ТН ВЭД 0808 - яблоки, груши и айва, свежие;</w:t>
      </w:r>
    </w:p>
    <w:p>
      <w:pPr>
        <w:spacing w:after="120"/>
        <w:ind w:firstLine="567"/>
        <w:jc w:val="both"/>
      </w:pPr>
      <w:r>
        <w:rPr>
          <w:rFonts w:ascii="Arial" w:cs="Arial" w:eastAsia="Arial" w:hAnsi="Arial"/>
          <w:sz w:val="24"/>
          <w:szCs w:val="24"/>
        </w:rPr>
        <w:t xml:space="preserve">- код ТН ВЭД 0703 - лук репчатый, лук-шалот, чеснок, лук-порей и прочие луковичные овощи, свежие или охлажденные;</w:t>
      </w:r>
    </w:p>
    <w:p>
      <w:pPr>
        <w:spacing w:after="120"/>
        <w:ind w:firstLine="567"/>
        <w:jc w:val="both"/>
      </w:pPr>
      <w:r>
        <w:rPr>
          <w:rFonts w:ascii="Arial" w:cs="Arial" w:eastAsia="Arial" w:hAnsi="Arial"/>
          <w:sz w:val="24"/>
          <w:szCs w:val="24"/>
        </w:rPr>
        <w:t xml:space="preserve">- код ТН ВЭД 0708 - бобовые овощи, лущеные или нелущеные, свежие или охлажденные;</w:t>
      </w:r>
    </w:p>
    <w:p>
      <w:pPr>
        <w:spacing w:after="120"/>
        <w:ind w:firstLine="567"/>
        <w:jc w:val="both"/>
      </w:pPr>
      <w:r>
        <w:rPr>
          <w:rFonts w:ascii="Arial" w:cs="Arial" w:eastAsia="Arial" w:hAnsi="Arial"/>
          <w:sz w:val="24"/>
          <w:szCs w:val="24"/>
        </w:rPr>
        <w:t xml:space="preserve">- код ТН ВЭД 0806 - виноград, свежий или сушеный;</w:t>
      </w:r>
    </w:p>
    <w:p>
      <w:pPr>
        <w:spacing w:after="120"/>
        <w:ind w:firstLine="567"/>
        <w:jc w:val="both"/>
      </w:pPr>
      <w:r>
        <w:rPr>
          <w:rFonts w:ascii="Arial" w:cs="Arial" w:eastAsia="Arial" w:hAnsi="Arial"/>
          <w:sz w:val="24"/>
          <w:szCs w:val="24"/>
        </w:rPr>
        <w:t xml:space="preserve">- код ТН ВЭД 0706 - морковь, репа, свекла столовая, сельдерей корневой, редис и прочие аналогичные съедобные корнеплоды, свежие или охлажденные.</w:t>
      </w:r>
    </w:p>
    <w:p>
      <w:pPr>
        <w:spacing w:after="120"/>
        <w:ind w:firstLine="567"/>
        <w:jc w:val="both"/>
      </w:pPr>
      <w:r>
        <w:rPr>
          <w:rFonts w:ascii="Arial" w:cs="Arial" w:eastAsia="Arial" w:hAnsi="Arial"/>
          <w:sz w:val="24"/>
          <w:szCs w:val="24"/>
        </w:rPr>
        <w:t xml:space="preserve">Экспортными рынками для товарных групп 07 и 08 выделяются следующие 10 первых стран-импортеров, на которые пришлось более 93% объема экспорта из Кыргызской Республики:</w:t>
      </w:r>
    </w:p>
    <w:p>
      <w:pPr>
        <w:spacing w:after="120"/>
        <w:ind w:firstLine="567"/>
        <w:jc w:val="both"/>
      </w:pPr>
      <w:r>
        <w:rPr>
          <w:rFonts w:ascii="Arial" w:cs="Arial" w:eastAsia="Arial" w:hAnsi="Arial"/>
          <w:sz w:val="24"/>
          <w:szCs w:val="24"/>
        </w:rPr>
        <w:t xml:space="preserve">1) Россия; 2) Турция; 3) Афганистан; 4) Сербия; 5) Казахстан; 6) Узбекистан; 7) Сирийская Арабская Республика; 8) Македония; 9) Болгария; 10) Грузия.</w:t>
      </w:r>
    </w:p>
    <w:p>
      <w:pPr>
        <w:spacing w:after="120"/>
        <w:ind w:firstLine="567"/>
        <w:jc w:val="both"/>
      </w:pPr>
      <w:r>
        <w:rPr>
          <w:rFonts w:ascii="Arial" w:cs="Arial" w:eastAsia="Arial" w:hAnsi="Arial"/>
          <w:sz w:val="24"/>
          <w:szCs w:val="24"/>
        </w:rPr>
        <w:t xml:space="preserve">Также следует отметить, что на первые 5 стран-импортеров пришлось 81% объема экспорта Кыргызской Республики.</w:t>
      </w:r>
    </w:p>
    <w:p>
      <w:pPr>
        <w:spacing w:after="120"/>
        <w:ind w:firstLine="567"/>
        <w:jc w:val="both"/>
      </w:pPr>
      <w:r>
        <w:rPr>
          <w:rFonts w:ascii="Arial" w:cs="Arial" w:eastAsia="Arial" w:hAnsi="Arial"/>
          <w:sz w:val="24"/>
          <w:szCs w:val="24"/>
        </w:rPr>
        <w:t xml:space="preserve">В товарной структуре экспорта на товарную группу 20 "Продукты переработки овощей, фруктов, орехов или прочих частей растений" (за исключением товарной позиции 2009 - соки) в 2023 году объем экспорта составил 8 млн. долларов США, из них следует выделить следующие:</w:t>
      </w:r>
    </w:p>
    <w:p>
      <w:pPr>
        <w:spacing w:after="120"/>
        <w:ind w:firstLine="567"/>
        <w:jc w:val="both"/>
      </w:pPr>
      <w:r>
        <w:rPr>
          <w:rFonts w:ascii="Arial" w:cs="Arial" w:eastAsia="Arial" w:hAnsi="Arial"/>
          <w:sz w:val="24"/>
          <w:szCs w:val="24"/>
        </w:rPr>
        <w:t xml:space="preserve">- код ТН ВЭД 2002 - томаты, приготовленные или консервированные без добавления уксуса или уксусной кислоты;</w:t>
      </w:r>
    </w:p>
    <w:p>
      <w:pPr>
        <w:spacing w:after="120"/>
        <w:ind w:firstLine="567"/>
        <w:jc w:val="both"/>
      </w:pPr>
      <w:r>
        <w:rPr>
          <w:rFonts w:ascii="Arial" w:cs="Arial" w:eastAsia="Arial" w:hAnsi="Arial"/>
          <w:sz w:val="24"/>
          <w:szCs w:val="24"/>
        </w:rPr>
        <w:t xml:space="preserve">- код ТН ВЭД 2008 - фрукты, орехи и прочие съедобные части растений, приготовленные или консервированные иным способом, содержащие или не содержащие сахар или другие подслащивающие вещества, или спирт, в другом месте не поименованные или не включенные;</w:t>
      </w:r>
    </w:p>
    <w:p>
      <w:pPr>
        <w:spacing w:after="120"/>
        <w:ind w:firstLine="567"/>
        <w:jc w:val="both"/>
      </w:pPr>
      <w:r>
        <w:rPr>
          <w:rFonts w:ascii="Arial" w:cs="Arial" w:eastAsia="Arial" w:hAnsi="Arial"/>
          <w:sz w:val="24"/>
          <w:szCs w:val="24"/>
        </w:rPr>
        <w:t xml:space="preserve">- код ТН ВЭД 2005 - овощи прочие, приготовленные или консервированные, без добавления уксуса или уксусной кислоты, незамороженные, кроме продуктов товарной позиции 2006;</w:t>
      </w:r>
    </w:p>
    <w:p>
      <w:pPr>
        <w:spacing w:after="120"/>
        <w:ind w:firstLine="567"/>
        <w:jc w:val="both"/>
      </w:pPr>
      <w:r>
        <w:rPr>
          <w:rFonts w:ascii="Arial" w:cs="Arial" w:eastAsia="Arial" w:hAnsi="Arial"/>
          <w:sz w:val="24"/>
          <w:szCs w:val="24"/>
        </w:rPr>
        <w:t xml:space="preserve">- код ТН ВЭД 2007 - 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2001 - овощи, фрукты, орехи и другие съедобные части растений, приготовленные или консервированные с добавлением уксуса или уксусной кислоты.</w:t>
      </w:r>
    </w:p>
    <w:p>
      <w:pPr>
        <w:spacing w:after="120"/>
        <w:ind w:firstLine="567"/>
        <w:jc w:val="both"/>
      </w:pPr>
      <w:r>
        <w:rPr>
          <w:rFonts w:ascii="Arial" w:cs="Arial" w:eastAsia="Arial" w:hAnsi="Arial"/>
          <w:b/>
          <w:bCs/>
          <w:sz w:val="24"/>
          <w:szCs w:val="24"/>
        </w:rPr>
        <w:t xml:space="preserve">Таблица 4.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1389"/>
        <w:gridCol w:w="2124"/>
        <w:gridCol w:w="4705"/>
      </w:tblGrid>
      <w:tr>
        <w:tc>
          <w:tcPr>
            <w:tcW w:type="dxa" w:w="19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1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4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081340 - прочие фрукты - персики, груши, папайя, тамаринд и др.</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14825</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(86%)</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(193 млн. долл. США, 17,9%); КНР (150 млн. долл. США, 13,9%); Германия (112 млн. долл. США, 10,6%); Вьетнам (54 млн. долл. США, 5%); Великобритания (44 млн. долл. США, 4%)</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081310 - курага</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(86,5%)</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(79 млн. долл. США, 13,5%); Германия (49 млн. долл. США, 8,5%); Франция (46 млн. долл. США, 7,9%); Великобритания (37 млн. долл. США, 6,3%); Турция (34 млн. долл. США, 5,8%)</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081330 - сушеные яблоки</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(85,1%);</w:t>
            </w:r>
            <w:r>
              <w:rPr>
                <w:rFonts w:ascii="Arial" w:cs="Arial" w:eastAsia="Arial" w:hAnsi="Arial"/>
                <w:sz w:val="24"/>
                <w:szCs w:val="24"/>
              </w:rPr>
              <w:t xml:space="preserve">Турция (7,2%);</w:t>
            </w:r>
            <w:r>
              <w:rPr>
                <w:rFonts w:ascii="Arial" w:cs="Arial" w:eastAsia="Arial" w:hAnsi="Arial"/>
                <w:sz w:val="24"/>
                <w:szCs w:val="24"/>
              </w:rPr>
              <w:t xml:space="preserve">Россия (5,9%)</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(56 млн. долл. США, 26,6%); Германия (37 млн. долл. США, 17,7%); Испания (11 млн. долл. США, 5,4%); Нидерланды (11 млн. долл. США, 5,2%); Канада (10 млн. долл. США, 4,9%); Великобритания (9 млн. долл. США, 4,1%)</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081350 - миксы орехов или сухофруктов</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(36,4%);</w:t>
            </w:r>
            <w:r>
              <w:rPr>
                <w:rFonts w:ascii="Arial" w:cs="Arial" w:eastAsia="Arial" w:hAnsi="Arial"/>
                <w:sz w:val="24"/>
                <w:szCs w:val="24"/>
              </w:rPr>
              <w:t xml:space="preserve">Казахстан (27,3%);</w:t>
            </w:r>
            <w:r>
              <w:rPr>
                <w:rFonts w:ascii="Arial" w:cs="Arial" w:eastAsia="Arial" w:hAnsi="Arial"/>
                <w:sz w:val="24"/>
                <w:szCs w:val="24"/>
              </w:rPr>
              <w:t xml:space="preserve">Монголия (27,3%)</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 (41 млн. долл. США, 13,7%); Франция (35 млн. долл. США, 11,6%); Казахстан (17 млн. долл. США, 5,6%); Германия (16 млн. долл., 5,3%); Бельгия (16 млн. долл., 5,2%)</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081320 - сушеный чернослив</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(36,3%);</w:t>
            </w:r>
            <w:r>
              <w:rPr>
                <w:rFonts w:ascii="Arial" w:cs="Arial" w:eastAsia="Arial" w:hAnsi="Arial"/>
                <w:sz w:val="24"/>
                <w:szCs w:val="24"/>
              </w:rPr>
              <w:t xml:space="preserve">Германия (35,3%);</w:t>
            </w:r>
            <w:r>
              <w:rPr>
                <w:rFonts w:ascii="Arial" w:cs="Arial" w:eastAsia="Arial" w:hAnsi="Arial"/>
                <w:sz w:val="24"/>
                <w:szCs w:val="24"/>
              </w:rPr>
              <w:t xml:space="preserve">Нидерланды (18,8%);</w:t>
            </w:r>
            <w:r>
              <w:rPr>
                <w:rFonts w:ascii="Arial" w:cs="Arial" w:eastAsia="Arial" w:hAnsi="Arial"/>
                <w:sz w:val="24"/>
                <w:szCs w:val="24"/>
              </w:rPr>
              <w:t xml:space="preserve">Турция (8,6%)</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 (84 млн. долл. США, 13%); Германия (47 млн. долл. США, 7,2%); Италия (34 млн. долл. США, 5,3%); Испания (31 млн. долл. США, 4,7%); Нидерланды (29 млн. долл. США, 4,5%); Япония (28 млн. долл. США, 4,4%)</w:t>
            </w:r>
          </w:p>
        </w:tc>
      </w:tr>
    </w:tbl>
    <w:p>
      <w:pPr>
        <w:spacing w:after="120"/>
        <w:ind w:firstLine="567"/>
        <w:jc w:val="both"/>
      </w:pPr>
      <w:r>
        <w:rPr>
          <w:rFonts w:ascii="Arial" w:cs="Arial" w:eastAsia="Arial" w:hAnsi="Arial"/>
          <w:b/>
          <w:bCs/>
          <w:sz w:val="24"/>
          <w:szCs w:val="24"/>
        </w:rPr>
        <w:t xml:space="preserve">Таблица 5.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9"/>
        <w:gridCol w:w="1403"/>
        <w:gridCol w:w="2202"/>
        <w:gridCol w:w="4534"/>
      </w:tblGrid>
      <w:tr>
        <w:tc>
          <w:tcPr>
            <w:tcW w:type="dxa" w:w="20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(доли в экспорте КР в 2023 году)</w:t>
            </w:r>
          </w:p>
        </w:tc>
        <w:tc>
          <w:tcPr>
            <w:tcW w:type="dxa" w:w="45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080232 - свежий или сушеный грецкий орех, очищенный от скорлупы</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(60,3%);</w:t>
            </w:r>
            <w:r>
              <w:rPr>
                <w:rFonts w:ascii="Arial" w:cs="Arial" w:eastAsia="Arial" w:hAnsi="Arial"/>
                <w:sz w:val="24"/>
                <w:szCs w:val="24"/>
              </w:rPr>
              <w:t xml:space="preserve">Грузия (15,8%);</w:t>
            </w:r>
            <w:r>
              <w:rPr>
                <w:rFonts w:ascii="Arial" w:cs="Arial" w:eastAsia="Arial" w:hAnsi="Arial"/>
                <w:sz w:val="24"/>
                <w:szCs w:val="24"/>
              </w:rPr>
              <w:t xml:space="preserve">Узбекистан (8,5%);</w:t>
            </w:r>
            <w:r>
              <w:rPr>
                <w:rFonts w:ascii="Arial" w:cs="Arial" w:eastAsia="Arial" w:hAnsi="Arial"/>
                <w:sz w:val="24"/>
                <w:szCs w:val="24"/>
              </w:rPr>
              <w:t xml:space="preserve">Азербайджан (6,1%);</w:t>
            </w:r>
            <w:r>
              <w:rPr>
                <w:rFonts w:ascii="Arial" w:cs="Arial" w:eastAsia="Arial" w:hAnsi="Arial"/>
                <w:sz w:val="24"/>
                <w:szCs w:val="24"/>
              </w:rPr>
              <w:t xml:space="preserve">Германия (2,4%);</w:t>
            </w:r>
            <w:r>
              <w:rPr>
                <w:rFonts w:ascii="Arial" w:cs="Arial" w:eastAsia="Arial" w:hAnsi="Arial"/>
                <w:sz w:val="24"/>
                <w:szCs w:val="24"/>
              </w:rPr>
              <w:t xml:space="preserve">Турция (1,8%)</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(194 млн. долл. США, 13,9%); Испания (111 млн. долл. США, 7,9%); Япония (77 млн. долл. США, 5,5%); Южная Корея (67 млн. долл. США, 4,8%); Нидерланды (61 млн. долл. США, 4,4%)</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080251 - свежие или сушеные фисташки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(49,1%);</w:t>
            </w:r>
            <w:r>
              <w:rPr>
                <w:rFonts w:ascii="Arial" w:cs="Arial" w:eastAsia="Arial" w:hAnsi="Arial"/>
                <w:sz w:val="24"/>
                <w:szCs w:val="24"/>
              </w:rPr>
              <w:t xml:space="preserve">Узбекистан (44%);</w:t>
            </w:r>
            <w:r>
              <w:rPr>
                <w:rFonts w:ascii="Arial" w:cs="Arial" w:eastAsia="Arial" w:hAnsi="Arial"/>
                <w:sz w:val="24"/>
                <w:szCs w:val="24"/>
              </w:rPr>
              <w:t xml:space="preserve">Азербайджан (6,9%)</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 (457 млн. долл. США, 18,4%); Германия (275 млн. долл. США, 11,1%); Турция (193 млн. долл. США, 7,8%); Индия (138 млн. долл. США, 5,6%); Италия (134 млн. долл. США, 5,4%)</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080231 - свежий или сушеный грецкий орех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(73,5%);</w:t>
            </w:r>
            <w:r>
              <w:rPr>
                <w:rFonts w:ascii="Arial" w:cs="Arial" w:eastAsia="Arial" w:hAnsi="Arial"/>
                <w:sz w:val="24"/>
                <w:szCs w:val="24"/>
              </w:rPr>
              <w:t xml:space="preserve">Узбекистан (18%);</w:t>
            </w:r>
            <w:r>
              <w:rPr>
                <w:rFonts w:ascii="Arial" w:cs="Arial" w:eastAsia="Arial" w:hAnsi="Arial"/>
                <w:sz w:val="24"/>
                <w:szCs w:val="24"/>
              </w:rPr>
              <w:t xml:space="preserve">Туркменистан (3%);</w:t>
            </w:r>
            <w:r>
              <w:rPr>
                <w:rFonts w:ascii="Arial" w:cs="Arial" w:eastAsia="Arial" w:hAnsi="Arial"/>
                <w:sz w:val="24"/>
                <w:szCs w:val="24"/>
              </w:rPr>
              <w:t xml:space="preserve">Ирак (1,3%);</w:t>
            </w:r>
            <w:r>
              <w:rPr>
                <w:rFonts w:ascii="Arial" w:cs="Arial" w:eastAsia="Arial" w:hAnsi="Arial"/>
                <w:sz w:val="24"/>
                <w:szCs w:val="24"/>
              </w:rPr>
              <w:t xml:space="preserve">ОАЭ (1,1%)</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ОАЭ (147 млн. долл. США, 17,8%); Турция (132 млн. долл. США, 16%); Индия (79 млн. долл. США, 9,6%); Италия (72 млн. долл. США, 8,8%); Марокко (54 млн. долл. США, 6,6%); Мексика (54 млн. долл. США, 6,6%)</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080252 - свежие или сушеные фисташки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 (93,1%);</w:t>
            </w:r>
            <w:r>
              <w:rPr>
                <w:rFonts w:ascii="Arial" w:cs="Arial" w:eastAsia="Arial" w:hAnsi="Arial"/>
                <w:sz w:val="24"/>
                <w:szCs w:val="24"/>
              </w:rPr>
              <w:t xml:space="preserve">Узбекистан (5%);</w:t>
            </w:r>
            <w:r>
              <w:rPr>
                <w:rFonts w:ascii="Arial" w:cs="Arial" w:eastAsia="Arial" w:hAnsi="Arial"/>
                <w:sz w:val="24"/>
                <w:szCs w:val="24"/>
              </w:rPr>
              <w:t xml:space="preserve">Азербайджан (2%)</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 (168 млн. долл. США, 19,4%); Германия (163 млн. долл. США, 18,8%); Турция (111 млн. долл. США, 12,8%); Индия (71 млн. долл. США, 8,2%); Великобритания (29 млн. долл. США, 3,4%)</w:t>
            </w:r>
          </w:p>
        </w:tc>
      </w:tr>
    </w:tbl>
    <w:p>
      <w:pPr>
        <w:spacing w:after="120" w:before="120"/>
        <w:ind w:firstLine="567"/>
        <w:jc w:val="both"/>
      </w:pPr>
      <w:r>
        <w:rPr>
          <w:rFonts w:ascii="Arial" w:cs="Arial" w:eastAsia="Arial" w:hAnsi="Arial"/>
          <w:sz w:val="24"/>
          <w:szCs w:val="24"/>
        </w:rPr>
        <w:t xml:space="preserve">Экспортными рынками для товарной группы 20 "Продукты переработки овощей, фруктов, орехов или прочих частей растений" выделяются следующие страны-импортеры,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Казахстан; 3) Узбекистан; 4) Германия; 5) Турция; 6) США; 7) Япония.</w:t>
      </w:r>
    </w:p>
    <w:p>
      <w:pPr>
        <w:spacing w:after="120"/>
        <w:ind w:firstLine="567"/>
        <w:jc w:val="both"/>
      </w:pPr>
      <w:r>
        <w:rPr>
          <w:rFonts w:ascii="Arial" w:cs="Arial" w:eastAsia="Arial" w:hAnsi="Arial"/>
          <w:sz w:val="24"/>
          <w:szCs w:val="24"/>
        </w:rPr>
        <w:t xml:space="preserve">Также следует отметить, что на Россию, Казахстан и Узбекистан пришлось 97% объема экспорта Кыргызской Республики.</w:t>
      </w:r>
    </w:p>
    <w:p>
      <w:pPr>
        <w:spacing w:after="120"/>
        <w:ind w:firstLine="567"/>
        <w:jc w:val="both"/>
      </w:pPr>
      <w:r>
        <w:rPr>
          <w:rFonts w:ascii="Arial" w:cs="Arial" w:eastAsia="Arial" w:hAnsi="Arial"/>
          <w:b/>
          <w:bCs/>
          <w:sz w:val="24"/>
          <w:szCs w:val="24"/>
        </w:rPr>
        <w:t xml:space="preserve">Молочная продукция и мед натуральный</w:t>
      </w:r>
    </w:p>
    <w:p>
      <w:pPr>
        <w:spacing w:after="120"/>
        <w:ind w:firstLine="567"/>
        <w:jc w:val="both"/>
      </w:pPr>
      <w:r>
        <w:rPr>
          <w:rFonts w:ascii="Arial" w:cs="Arial" w:eastAsia="Arial" w:hAnsi="Arial"/>
          <w:sz w:val="24"/>
          <w:szCs w:val="24"/>
        </w:rPr>
        <w:t xml:space="preserve">В товарной структуре экспорта на товарную группу 04 в 2023 году объем экспорта составил 32,7 млн. долларов США, из них следует выделить следующие 7 товарные позиции:</w:t>
      </w:r>
    </w:p>
    <w:p>
      <w:pPr>
        <w:spacing w:after="120"/>
        <w:ind w:firstLine="567"/>
        <w:jc w:val="both"/>
      </w:pPr>
      <w:r>
        <w:rPr>
          <w:rFonts w:ascii="Arial" w:cs="Arial" w:eastAsia="Arial" w:hAnsi="Arial"/>
          <w:sz w:val="24"/>
          <w:szCs w:val="24"/>
        </w:rPr>
        <w:t xml:space="preserve">- код ТН ВЭД 0401 - молоко и сливки, несгущенные и без добавления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0402 - молоко и сливки, сгущенные или с добавлением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0403 - йогурт; пахта, свернувшиеся молоко и сливки, кефир и прочие ферментированные или сквашенные молоко и сливки, сгущенные или несгущенные, с добавлением или без добавления сахара или других подслащивающих веществ, со вкусо-ароматическими добавками или без них, с добавлением или без добавления фруктов, орехов или какао;</w:t>
      </w:r>
    </w:p>
    <w:p>
      <w:pPr>
        <w:spacing w:after="120"/>
        <w:ind w:firstLine="567"/>
        <w:jc w:val="both"/>
      </w:pPr>
      <w:r>
        <w:rPr>
          <w:rFonts w:ascii="Arial" w:cs="Arial" w:eastAsia="Arial" w:hAnsi="Arial"/>
          <w:sz w:val="24"/>
          <w:szCs w:val="24"/>
        </w:rPr>
        <w:t xml:space="preserve">- код ТН ВЭД 0404 - молочная сыворотка, сгущенная или несгущенная, с добавлением или без добавления сахара или других подслащивающих веществ; продукты из натуральных компонентов молока, с добавлением или без добавления сахара или других подслащивающих веществ, в другом месте не поименованные или не включенные;</w:t>
      </w:r>
    </w:p>
    <w:p>
      <w:pPr>
        <w:spacing w:after="120"/>
        <w:ind w:firstLine="567"/>
        <w:jc w:val="both"/>
      </w:pPr>
      <w:r>
        <w:rPr>
          <w:rFonts w:ascii="Arial" w:cs="Arial" w:eastAsia="Arial" w:hAnsi="Arial"/>
          <w:sz w:val="24"/>
          <w:szCs w:val="24"/>
        </w:rPr>
        <w:t xml:space="preserve">- код ТН ВЭД 0405 - сливочное масло и прочие жиры и масла, изготовленные из молока; молочные пасты;</w:t>
      </w:r>
    </w:p>
    <w:p>
      <w:pPr>
        <w:spacing w:after="120"/>
        <w:ind w:firstLine="567"/>
        <w:jc w:val="both"/>
      </w:pPr>
      <w:r>
        <w:rPr>
          <w:rFonts w:ascii="Arial" w:cs="Arial" w:eastAsia="Arial" w:hAnsi="Arial"/>
          <w:sz w:val="24"/>
          <w:szCs w:val="24"/>
        </w:rPr>
        <w:t xml:space="preserve">- код ТН ВЭД 0406 - сыры и творог;</w:t>
      </w:r>
    </w:p>
    <w:p>
      <w:pPr>
        <w:spacing w:after="120"/>
        <w:ind w:firstLine="567"/>
        <w:jc w:val="both"/>
      </w:pPr>
      <w:r>
        <w:rPr>
          <w:rFonts w:ascii="Arial" w:cs="Arial" w:eastAsia="Arial" w:hAnsi="Arial"/>
          <w:sz w:val="24"/>
          <w:szCs w:val="24"/>
        </w:rPr>
        <w:t xml:space="preserve">- код ТН ВЭД 0409 - натуральный мед.</w:t>
      </w:r>
    </w:p>
    <w:p>
      <w:pPr>
        <w:spacing w:after="120"/>
        <w:ind w:firstLine="567"/>
        <w:jc w:val="both"/>
      </w:pPr>
      <w:r>
        <w:rPr>
          <w:rFonts w:ascii="Arial" w:cs="Arial" w:eastAsia="Arial" w:hAnsi="Arial"/>
          <w:sz w:val="24"/>
          <w:szCs w:val="24"/>
        </w:rPr>
        <w:t xml:space="preserve">Экспортными рынками для товарной группы 04 выделяются следующие 10 первых стран-импортеров,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Казахстан; 2) Россия; 3) Узбекистан; 4) Китай; 5) Кувейт; 6) США; 7) Япония; 8) ОАЭ; 9) Катар; 10) Азербайджан.</w:t>
      </w:r>
    </w:p>
    <w:p>
      <w:pPr>
        <w:spacing w:after="120"/>
        <w:ind w:firstLine="567"/>
        <w:jc w:val="both"/>
      </w:pPr>
      <w:r>
        <w:rPr>
          <w:rFonts w:ascii="Arial" w:cs="Arial" w:eastAsia="Arial" w:hAnsi="Arial"/>
          <w:sz w:val="24"/>
          <w:szCs w:val="24"/>
        </w:rPr>
        <w:t xml:space="preserve">Также следует отметить, что на Казахстан, Россию и Узбекистан пришлось 95% объема экспорта Кыргызской Республики. Глобальный импорт продукции из товарной позиции ТН ВЭД 04 в 2023 году составил 109 млрд. долларов США, при этом динамика рынка за последние 5 лет находится на уровне среднегодового роста 8% в денежном выражении.</w:t>
      </w:r>
    </w:p>
    <w:p>
      <w:pPr>
        <w:spacing w:after="120"/>
        <w:ind w:firstLine="567"/>
        <w:jc w:val="both"/>
      </w:pPr>
      <w:r>
        <w:rPr>
          <w:rFonts w:ascii="Arial" w:cs="Arial" w:eastAsia="Arial" w:hAnsi="Arial"/>
          <w:b/>
          <w:bCs/>
          <w:sz w:val="24"/>
          <w:szCs w:val="24"/>
        </w:rPr>
        <w:t xml:space="preserve">Таблица 6.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8"/>
        <w:gridCol w:w="1550"/>
        <w:gridCol w:w="2316"/>
        <w:gridCol w:w="4404"/>
      </w:tblGrid>
      <w:tr>
        <w:tc>
          <w:tcPr>
            <w:tcW w:type="dxa" w:w="19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4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доли в мировом импорте в 2023 году)</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0401 - молоко и сливки несгущенные</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(99,6%);</w:t>
            </w:r>
            <w:r>
              <w:rPr>
                <w:rFonts w:ascii="Arial" w:cs="Arial" w:eastAsia="Arial" w:hAnsi="Arial"/>
                <w:sz w:val="24"/>
                <w:szCs w:val="24"/>
              </w:rPr>
              <w:t xml:space="preserve">Узбекистан (0,4%)</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(2 млрд. долл. США, 17,4%); КНР (1,5 млрд. долл. США, 13,7%); Бельгия (1,1 млрд. долл. США, 9,5%); Нидерланды (824 млн. долл. США, 7,1%); Италия (771 млн. долл. США, 6,7%)</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0402 - молоко и сливки сгущенные</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(54,8%);</w:t>
            </w:r>
            <w:r>
              <w:rPr>
                <w:rFonts w:ascii="Arial" w:cs="Arial" w:eastAsia="Arial" w:hAnsi="Arial"/>
                <w:sz w:val="24"/>
                <w:szCs w:val="24"/>
              </w:rPr>
              <w:t xml:space="preserve">Узбекистан (44,3%)</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(584 млн. долл. США, 26,5%); Германия (228 млн. долл. США, 10,4%); Япония (144 млн. долл. США, 6,6%); Франция (115 млн. долл. США, 5,2%); ОАЭ (111 млн. долл. США, 5,1%)</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0403 - йогурт, кефир</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10472</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(97,7%);</w:t>
            </w:r>
            <w:r>
              <w:rPr>
                <w:rFonts w:ascii="Arial" w:cs="Arial" w:eastAsia="Arial" w:hAnsi="Arial"/>
                <w:sz w:val="24"/>
                <w:szCs w:val="24"/>
              </w:rPr>
              <w:t xml:space="preserve">Узбекистан (1,7%)</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 (590 млн. долл. США, 13,7%); Нидерланды (368 млн. долл. США, 8,6%); Испания (351 млн. долл. США, 8,2%)</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0409 - мед натуральный</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 (28,3%);</w:t>
            </w:r>
            <w:r>
              <w:rPr>
                <w:rFonts w:ascii="Arial" w:cs="Arial" w:eastAsia="Arial" w:hAnsi="Arial"/>
                <w:sz w:val="24"/>
                <w:szCs w:val="24"/>
              </w:rPr>
              <w:t xml:space="preserve">Кувейт (17,9%);</w:t>
            </w:r>
            <w:r>
              <w:rPr>
                <w:rFonts w:ascii="Arial" w:cs="Arial" w:eastAsia="Arial" w:hAnsi="Arial"/>
                <w:sz w:val="24"/>
                <w:szCs w:val="24"/>
              </w:rPr>
              <w:t xml:space="preserve">Япония (12,8%)</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(584 млн. долл. США, 26,5%); Германия (228 млн. долл. США, 10,4%); Япония (144 млн. долл. США, 6,6%); Франция (115 млн. долл. США, 5,2%); ОАЭ (111 млн. долл. США, 5,1%)</w:t>
            </w:r>
          </w:p>
        </w:tc>
      </w:tr>
    </w:tbl>
    <w:p>
      <w:pPr>
        <w:spacing w:after="120"/>
        <w:ind w:firstLine="567"/>
        <w:jc w:val="both"/>
      </w:pPr>
      <w:r>
        <w:rPr>
          <w:rFonts w:ascii="Arial" w:cs="Arial" w:eastAsia="Arial" w:hAnsi="Arial"/>
          <w:b/>
          <w:bCs/>
          <w:sz w:val="24"/>
          <w:szCs w:val="24"/>
        </w:rPr>
        <w:t xml:space="preserve">Мясная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товарную группу 02 "Мясо и пищевые мясные субпродукты", товарные позиции 1601 "Колбасы и аналогичные продукты из мяса, мясных субпродуктов, крови или насекомых; готовые пищевые продукты, изготовленные на их основе" и 1602 "Готовые или консервированные продукты из мяса, мясных субпродуктов" в 2023 году объем экспорта основных позиций мясной продукции составил 4,14 млн. долларов США, из них следует выделить следующие 3 товарные позиции:</w:t>
      </w:r>
    </w:p>
    <w:p>
      <w:pPr>
        <w:spacing w:after="120"/>
        <w:ind w:firstLine="567"/>
        <w:jc w:val="both"/>
      </w:pPr>
      <w:r>
        <w:rPr>
          <w:rFonts w:ascii="Arial" w:cs="Arial" w:eastAsia="Arial" w:hAnsi="Arial"/>
          <w:sz w:val="24"/>
          <w:szCs w:val="24"/>
        </w:rPr>
        <w:t xml:space="preserve">- код ТН ВЭД - 0204 - баранина или козлятина свежая, охлажденная или замороженная;</w:t>
      </w:r>
    </w:p>
    <w:p>
      <w:pPr>
        <w:spacing w:after="120"/>
        <w:ind w:firstLine="567"/>
        <w:jc w:val="both"/>
      </w:pPr>
      <w:r>
        <w:rPr>
          <w:rFonts w:ascii="Arial" w:cs="Arial" w:eastAsia="Arial" w:hAnsi="Arial"/>
          <w:sz w:val="24"/>
          <w:szCs w:val="24"/>
        </w:rPr>
        <w:t xml:space="preserve">- код ТН ВЭД 1601 - колбасы и аналогичные продукты из мяса, мясных субпродуктов, крови или насекомых; готовые пищевые продукты, изготовленные на их основе;</w:t>
      </w:r>
    </w:p>
    <w:p>
      <w:pPr>
        <w:spacing w:after="120"/>
        <w:ind w:firstLine="567"/>
        <w:jc w:val="both"/>
      </w:pPr>
      <w:r>
        <w:rPr>
          <w:rFonts w:ascii="Arial" w:cs="Arial" w:eastAsia="Arial" w:hAnsi="Arial"/>
          <w:sz w:val="24"/>
          <w:szCs w:val="24"/>
        </w:rPr>
        <w:t xml:space="preserve">- код ТН ВЭД 1602 - готовые или консервированные продукты из мяса, мясных субпродуктов, крови или насекомых, прочие.</w:t>
      </w:r>
    </w:p>
    <w:p>
      <w:pPr>
        <w:spacing w:after="120"/>
        <w:ind w:firstLine="567"/>
        <w:jc w:val="both"/>
      </w:pPr>
      <w:r>
        <w:rPr>
          <w:rFonts w:ascii="Arial" w:cs="Arial" w:eastAsia="Arial" w:hAnsi="Arial"/>
          <w:sz w:val="24"/>
          <w:szCs w:val="24"/>
        </w:rPr>
        <w:t xml:space="preserve">Экспортными рынками для вышеуказанных товарных позиций выделяются следующие страны-импортеры:</w:t>
      </w:r>
    </w:p>
    <w:p>
      <w:pPr>
        <w:spacing w:after="120"/>
        <w:ind w:firstLine="567"/>
        <w:jc w:val="both"/>
      </w:pPr>
      <w:r>
        <w:rPr>
          <w:rFonts w:ascii="Arial" w:cs="Arial" w:eastAsia="Arial" w:hAnsi="Arial"/>
          <w:sz w:val="24"/>
          <w:szCs w:val="24"/>
        </w:rPr>
        <w:t xml:space="preserve">- код ТН ВЭД 0204 - ОАЭ (98%); Кувейт (2%);</w:t>
      </w:r>
    </w:p>
    <w:p>
      <w:pPr>
        <w:spacing w:after="120"/>
        <w:ind w:firstLine="567"/>
        <w:jc w:val="both"/>
      </w:pPr>
      <w:r>
        <w:rPr>
          <w:rFonts w:ascii="Arial" w:cs="Arial" w:eastAsia="Arial" w:hAnsi="Arial"/>
          <w:sz w:val="24"/>
          <w:szCs w:val="24"/>
        </w:rPr>
        <w:t xml:space="preserve">- код ТН ВЭД 1601 - Россия (70,5%); Казахстан (29%); Узбекистан (0,5%);</w:t>
      </w:r>
    </w:p>
    <w:p>
      <w:pPr>
        <w:spacing w:after="120"/>
        <w:ind w:firstLine="567"/>
        <w:jc w:val="both"/>
      </w:pPr>
      <w:r>
        <w:rPr>
          <w:rFonts w:ascii="Arial" w:cs="Arial" w:eastAsia="Arial" w:hAnsi="Arial"/>
          <w:sz w:val="24"/>
          <w:szCs w:val="24"/>
        </w:rPr>
        <w:t xml:space="preserve">- код ТН ВЭД 1602 - Пакистан (22,8%); Турция (21,1%); Индия (14,6%); КНР (11,6%); ОАЭ (10,1%); Южная Корея (5%).</w:t>
      </w:r>
    </w:p>
    <w:p>
      <w:pPr>
        <w:spacing w:after="120"/>
        <w:ind w:firstLine="567"/>
        <w:jc w:val="both"/>
      </w:pPr>
      <w:r>
        <w:rPr>
          <w:rFonts w:ascii="Arial" w:cs="Arial" w:eastAsia="Arial" w:hAnsi="Arial"/>
          <w:b/>
          <w:bCs/>
          <w:sz w:val="24"/>
          <w:szCs w:val="24"/>
        </w:rPr>
        <w:t xml:space="preserve">Таблица 7.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323"/>
        <w:gridCol w:w="1879"/>
        <w:gridCol w:w="3741"/>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020421 - баранина, свежая или охлажденная: туши и полутуши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ОАЭ (98%);</w:t>
            </w:r>
            <w:r>
              <w:rPr>
                <w:rFonts w:ascii="Arial" w:cs="Arial" w:eastAsia="Arial" w:hAnsi="Arial"/>
                <w:sz w:val="24"/>
                <w:szCs w:val="24"/>
              </w:rPr>
              <w:t xml:space="preserve">Кувейт (2%)</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 (70 млн. долл. США, 21,3%); Италия (68 млн. долл. США, 20,8%); ОАЭ (67 млн. долл. США, 20,4%); Катар (24 млн. долл. США, 7,4%); Узбекистан (19 млн. долл. США, 5,9%); Кувейт (18 млн. долл. США, 5,5%)</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160100 - колбасы и аналогичные продукты из мяса, мясных субпродуктов, крови или насекомых; готовые пищевые продукты, изготовленные на их основе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(70,5%);</w:t>
            </w:r>
            <w:r>
              <w:rPr>
                <w:rFonts w:ascii="Arial" w:cs="Arial" w:eastAsia="Arial" w:hAnsi="Arial"/>
                <w:sz w:val="24"/>
                <w:szCs w:val="24"/>
              </w:rPr>
              <w:t xml:space="preserve">Казахстан (29%);</w:t>
            </w:r>
            <w:r>
              <w:rPr>
                <w:rFonts w:ascii="Arial" w:cs="Arial" w:eastAsia="Arial" w:hAnsi="Arial"/>
                <w:sz w:val="24"/>
                <w:szCs w:val="24"/>
              </w:rPr>
              <w:t xml:space="preserve">Узбекистан (0,5%)</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(307 млн. долл. США, 9,8%); Венгрия (264 млн. долл. США, 8,4%); Мексика (254 млн. долл. США, 8,1%); Дания (166 млн. долл. США, 5,3%); Словакия (164 млн. долл. США, 5,2%)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160250 - готовые или консервированные продукты из мяса крупного рогатого скота, мясных субпродуктов, крови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 (22,8%);</w:t>
            </w:r>
            <w:r>
              <w:rPr>
                <w:rFonts w:ascii="Arial" w:cs="Arial" w:eastAsia="Arial" w:hAnsi="Arial"/>
                <w:sz w:val="24"/>
                <w:szCs w:val="24"/>
              </w:rPr>
              <w:t xml:space="preserve">Турция (21,1%);</w:t>
            </w:r>
            <w:r>
              <w:rPr>
                <w:rFonts w:ascii="Arial" w:cs="Arial" w:eastAsia="Arial" w:hAnsi="Arial"/>
                <w:sz w:val="24"/>
                <w:szCs w:val="24"/>
              </w:rPr>
              <w:t xml:space="preserve">Индия (14,6%);</w:t>
            </w:r>
            <w:r>
              <w:rPr>
                <w:rFonts w:ascii="Arial" w:cs="Arial" w:eastAsia="Arial" w:hAnsi="Arial"/>
                <w:sz w:val="24"/>
                <w:szCs w:val="24"/>
              </w:rPr>
              <w:t xml:space="preserve">КНР (11,6%);</w:t>
            </w:r>
            <w:r>
              <w:rPr>
                <w:rFonts w:ascii="Arial" w:cs="Arial" w:eastAsia="Arial" w:hAnsi="Arial"/>
                <w:sz w:val="24"/>
                <w:szCs w:val="24"/>
              </w:rPr>
              <w:t xml:space="preserve">ОАЭ (10,1%);</w:t>
            </w:r>
            <w:r>
              <w:rPr>
                <w:rFonts w:ascii="Arial" w:cs="Arial" w:eastAsia="Arial" w:hAnsi="Arial"/>
                <w:sz w:val="24"/>
                <w:szCs w:val="24"/>
              </w:rPr>
              <w:t xml:space="preserve">Южная Корея (5%)</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 (3 млрд. долл. США, 16%); Япония (3 млрд. долл. США, 15,9%); США (1 млрд. долл. США, 7,2%); Франция (1,11 млрд. долл. США, 5,7%)</w:t>
            </w:r>
          </w:p>
        </w:tc>
      </w:tr>
    </w:tbl>
    <w:p>
      <w:pPr>
        <w:spacing w:after="120"/>
        <w:ind w:firstLine="567"/>
        <w:jc w:val="both"/>
      </w:pPr>
      <w:r>
        <w:rPr>
          <w:rFonts w:ascii="Arial" w:cs="Arial" w:eastAsia="Arial" w:hAnsi="Arial"/>
          <w:b/>
          <w:bCs/>
          <w:sz w:val="24"/>
          <w:szCs w:val="24"/>
        </w:rPr>
        <w:t xml:space="preserve">Рыбная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товарную группу 03 "Рыба и ракообразные, моллюски и прочие водные беспозвоночные" в 2023 году объем экспорта составил 25,8 млн. долларов США, из них следует выделить следующие 4 товарные позиции:</w:t>
      </w:r>
    </w:p>
    <w:p>
      <w:pPr>
        <w:spacing w:after="120"/>
        <w:ind w:firstLine="567"/>
        <w:jc w:val="both"/>
      </w:pPr>
      <w:r>
        <w:rPr>
          <w:rFonts w:ascii="Arial" w:cs="Arial" w:eastAsia="Arial" w:hAnsi="Arial"/>
          <w:sz w:val="24"/>
          <w:szCs w:val="24"/>
        </w:rPr>
        <w:t xml:space="preserve">- код ТН ВЭД 0302 - рыба свежая или охлажденная, за исключением рыбного филе и прочего мяса рыбы товарной позиции 0304;</w:t>
      </w:r>
    </w:p>
    <w:p>
      <w:pPr>
        <w:spacing w:after="120"/>
        <w:ind w:firstLine="567"/>
        <w:jc w:val="both"/>
      </w:pPr>
      <w:r>
        <w:rPr>
          <w:rFonts w:ascii="Arial" w:cs="Arial" w:eastAsia="Arial" w:hAnsi="Arial"/>
          <w:sz w:val="24"/>
          <w:szCs w:val="24"/>
        </w:rPr>
        <w:t xml:space="preserve">- код ТН ВЭД 0303 - рыба мороженая, за исключением рыбного филе и прочего мяса рыбы товарной позиции 0304;</w:t>
      </w:r>
    </w:p>
    <w:p>
      <w:pPr>
        <w:spacing w:after="120"/>
        <w:ind w:firstLine="567"/>
        <w:jc w:val="both"/>
      </w:pPr>
      <w:r>
        <w:rPr>
          <w:rFonts w:ascii="Arial" w:cs="Arial" w:eastAsia="Arial" w:hAnsi="Arial"/>
          <w:sz w:val="24"/>
          <w:szCs w:val="24"/>
        </w:rPr>
        <w:t xml:space="preserve">- код ТН ВЭД 0304 - филе рыбное и прочее мясо рыбы (включая фарш), свежие, охлажденные или мороженые;</w:t>
      </w:r>
    </w:p>
    <w:p>
      <w:pPr>
        <w:spacing w:after="120"/>
        <w:ind w:firstLine="567"/>
        <w:jc w:val="both"/>
      </w:pPr>
      <w:r>
        <w:rPr>
          <w:rFonts w:ascii="Arial" w:cs="Arial" w:eastAsia="Arial" w:hAnsi="Arial"/>
          <w:sz w:val="24"/>
          <w:szCs w:val="24"/>
        </w:rPr>
        <w:t xml:space="preserve">- код ТН ВЭД 0305 - рыба сушеная, соленая или в рассоле; рыба копченая, не подвергнутая или подвергнутая тепловой обработке до или в процессе копчения.</w:t>
      </w:r>
    </w:p>
    <w:p>
      <w:pPr>
        <w:spacing w:after="120"/>
        <w:ind w:firstLine="567"/>
        <w:jc w:val="both"/>
      </w:pPr>
      <w:r>
        <w:rPr>
          <w:rFonts w:ascii="Arial" w:cs="Arial" w:eastAsia="Arial" w:hAnsi="Arial"/>
          <w:sz w:val="24"/>
          <w:szCs w:val="24"/>
        </w:rPr>
        <w:t xml:space="preserve">Также в данном разделе рассматривается товарная субпозиция 160432 "Заменители икры осетровых (икра лососевых)".</w:t>
      </w:r>
    </w:p>
    <w:p>
      <w:pPr>
        <w:spacing w:after="120"/>
        <w:ind w:firstLine="567"/>
        <w:jc w:val="both"/>
      </w:pPr>
      <w:r>
        <w:rPr>
          <w:rFonts w:ascii="Arial" w:cs="Arial" w:eastAsia="Arial" w:hAnsi="Arial"/>
          <w:sz w:val="24"/>
          <w:szCs w:val="24"/>
        </w:rPr>
        <w:t xml:space="preserve">Экспортными рынками для товарной группы 03 выделяются следующие 4 первых стран-импортеров,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Литва; 3) Казахстан; 4) Сербия.</w:t>
      </w:r>
    </w:p>
    <w:p>
      <w:pPr>
        <w:spacing w:after="120"/>
        <w:ind w:firstLine="567"/>
        <w:jc w:val="both"/>
      </w:pPr>
      <w:r>
        <w:rPr>
          <w:rFonts w:ascii="Arial" w:cs="Arial" w:eastAsia="Arial" w:hAnsi="Arial"/>
          <w:sz w:val="24"/>
          <w:szCs w:val="24"/>
        </w:rPr>
        <w:t xml:space="preserve">Также следует отметить, что на Россию и Казахстан пришлось 99% объема экспорта Кыргызской Республики.</w:t>
      </w:r>
    </w:p>
    <w:p>
      <w:pPr>
        <w:spacing w:after="120"/>
        <w:ind w:firstLine="567"/>
        <w:jc w:val="both"/>
      </w:pPr>
      <w:r>
        <w:rPr>
          <w:rFonts w:ascii="Arial" w:cs="Arial" w:eastAsia="Arial" w:hAnsi="Arial"/>
          <w:b/>
          <w:bCs/>
          <w:sz w:val="24"/>
          <w:szCs w:val="24"/>
        </w:rPr>
        <w:t xml:space="preserve">Безалкогольные напитки, включая национальные</w:t>
      </w:r>
    </w:p>
    <w:p>
      <w:pPr>
        <w:spacing w:after="120"/>
        <w:ind w:firstLine="567"/>
        <w:jc w:val="both"/>
      </w:pPr>
      <w:r>
        <w:rPr>
          <w:rFonts w:ascii="Arial" w:cs="Arial" w:eastAsia="Arial" w:hAnsi="Arial"/>
          <w:sz w:val="24"/>
          <w:szCs w:val="24"/>
        </w:rPr>
        <w:t xml:space="preserve">В 2023 году объем экспорта составил 6,1 млн. долларов США, из них следует выделить следующие товарные позиции, входящие в безалкогольные напитки:</w:t>
      </w:r>
    </w:p>
    <w:p>
      <w:pPr>
        <w:spacing w:after="120"/>
        <w:ind w:firstLine="567"/>
        <w:jc w:val="both"/>
      </w:pPr>
      <w:r>
        <w:rPr>
          <w:rFonts w:ascii="Arial" w:cs="Arial" w:eastAsia="Arial" w:hAnsi="Arial"/>
          <w:sz w:val="24"/>
          <w:szCs w:val="24"/>
        </w:rPr>
        <w:t xml:space="preserve">- код ТН ВЭД 2202 - воды, включая минеральные и газированные, содержащие сахар или другие подслащивающие, или вкусо-ароматические вещества, и прочие безалкогольные напитки, за исключением фруктовых, ореховых или овощных соков товарной позиции 2009;</w:t>
      </w:r>
    </w:p>
    <w:p>
      <w:pPr>
        <w:spacing w:after="120"/>
        <w:ind w:firstLine="567"/>
        <w:jc w:val="both"/>
      </w:pPr>
      <w:r>
        <w:rPr>
          <w:rFonts w:ascii="Arial" w:cs="Arial" w:eastAsia="Arial" w:hAnsi="Arial"/>
          <w:sz w:val="24"/>
          <w:szCs w:val="24"/>
        </w:rPr>
        <w:t xml:space="preserve">- код ТН ВЭД 2009 - соки фруктовые или ореховые (включая виноградное сусло и кокосовую воду) и соки овощные, несброженные и не содержащие добавок спирта, с добавлением или без добавления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2201 - воды, включая природные или искусственные минеральные, газированные, без добавления сахара или других подслащивающих, или вкусо-ароматических веществ.</w:t>
      </w:r>
    </w:p>
    <w:p>
      <w:pPr>
        <w:spacing w:after="120"/>
        <w:ind w:firstLine="567"/>
        <w:jc w:val="both"/>
      </w:pPr>
      <w:r>
        <w:rPr>
          <w:rFonts w:ascii="Arial" w:cs="Arial" w:eastAsia="Arial" w:hAnsi="Arial"/>
          <w:sz w:val="24"/>
          <w:szCs w:val="24"/>
        </w:rPr>
        <w:t xml:space="preserve">В целом необходимо отметить, что география экспорта Кыргызской Республики ограничена странами СНГ, Ближнего Востока и Европы. Таким образом, следующие страны являются:</w:t>
      </w:r>
    </w:p>
    <w:p>
      <w:pPr>
        <w:spacing w:after="120"/>
        <w:ind w:firstLine="567"/>
        <w:jc w:val="both"/>
      </w:pPr>
      <w:r>
        <w:rPr>
          <w:rFonts w:ascii="Arial" w:cs="Arial" w:eastAsia="Arial" w:hAnsi="Arial"/>
          <w:sz w:val="24"/>
          <w:szCs w:val="24"/>
        </w:rPr>
        <w:t xml:space="preserve">- традиционными рынками - Казахстан, Узбекистан, КНР, Россия, Турция, Сербия, Македония, Болгария, Грузия, Азербайджан, Германия, Таджикистан, Ирак, ОАЭ, Иран;</w:t>
      </w:r>
    </w:p>
    <w:p>
      <w:pPr>
        <w:spacing w:after="120"/>
        <w:ind w:firstLine="567"/>
        <w:jc w:val="both"/>
      </w:pPr>
      <w:r>
        <w:rPr>
          <w:rFonts w:ascii="Arial" w:cs="Arial" w:eastAsia="Arial" w:hAnsi="Arial"/>
          <w:sz w:val="24"/>
          <w:szCs w:val="24"/>
        </w:rPr>
        <w:t xml:space="preserve">- перспективными рынками - Афганистан, Сирия, Молдова, Индия, Монголия, Черногория, Босния и Герцеговина, Беларусь, Польша, Словения, Туркменистан, Япония, Пакистан, Саудовская Аравия, Румыния, Украина, Кувейт, Албания, США, Литва, Южная Корея, Нидерланды и Армения.</w:t>
      </w:r>
    </w:p>
    <w:p>
      <w:pPr>
        <w:spacing w:after="240" w:before="200"/>
        <w:jc w:val="center"/>
      </w:pPr>
      <w:r>
        <w:rPr>
          <w:rFonts w:ascii="Arial" w:cs="Arial" w:eastAsia="Arial" w:hAnsi="Arial"/>
          <w:b/>
          <w:bCs/>
          <w:sz w:val="32"/>
          <w:szCs w:val="32"/>
        </w:rPr>
        <w:t xml:space="preserve">Глава 2. Достижения и проблемы</w:t>
      </w:r>
    </w:p>
    <w:p>
      <w:pPr>
        <w:spacing w:after="120"/>
        <w:ind w:firstLine="567"/>
        <w:jc w:val="both"/>
      </w:pPr>
      <w:r>
        <w:rPr>
          <w:rFonts w:ascii="Arial" w:cs="Arial" w:eastAsia="Arial" w:hAnsi="Arial"/>
          <w:sz w:val="24"/>
          <w:szCs w:val="24"/>
        </w:rPr>
        <w:t xml:space="preserve">В последние годы интеграция Кыргызской Республики в мировую экономику сопровождается расширением географии ее торговли. В 2023 году Кыргызская Республика осуществляла торговлю со 161 страной мира, тогда как в 2022 году их было 147.</w:t>
      </w:r>
    </w:p>
    <w:p>
      <w:pPr>
        <w:spacing w:after="120"/>
        <w:ind w:firstLine="567"/>
        <w:jc w:val="both"/>
      </w:pPr>
      <w:r>
        <w:rPr>
          <w:rFonts w:ascii="Arial" w:cs="Arial" w:eastAsia="Arial" w:hAnsi="Arial"/>
          <w:sz w:val="24"/>
          <w:szCs w:val="24"/>
        </w:rPr>
        <w:t xml:space="preserve">В отношении своих торговых партнеров Кыргызская Республика применяет следующие торговые режимы: для стран-участниц СНГ - режим свободной торговли; для стран-членов ВТО - режим наибольшего благоприятствования (РНБ); для наименее развитых стран - преференциальный режим.</w:t>
      </w:r>
    </w:p>
    <w:p>
      <w:pPr>
        <w:spacing w:after="120"/>
        <w:ind w:firstLine="567"/>
        <w:jc w:val="both"/>
      </w:pPr>
      <w:r>
        <w:rPr>
          <w:rFonts w:ascii="Arial" w:cs="Arial" w:eastAsia="Arial" w:hAnsi="Arial"/>
          <w:sz w:val="24"/>
          <w:szCs w:val="24"/>
        </w:rPr>
        <w:t xml:space="preserve">Кыргызская Республика в числе 110 стран-членов ВТО ратифицировала Протокол для вступления в силу Соглашения по упрощению процедур торговли (далее - СУПТ). Одной из целей СУПТ является ускорение беспрепятственной перевозки товаров через границы, а также повышение прозрачности и предсказуемости торговли. Советом по упрощению процедур торговли в Кыргызской Республике был утвержден План реализации СУПТ и других мероприятий по упрощению торговых и транспортных процедур на 2018-2024 годы (далее - План).</w:t>
      </w:r>
    </w:p>
    <w:p>
      <w:pPr>
        <w:spacing w:after="120"/>
        <w:ind w:firstLine="567"/>
        <w:jc w:val="both"/>
      </w:pPr>
      <w:r>
        <w:rPr>
          <w:rFonts w:ascii="Arial" w:cs="Arial" w:eastAsia="Arial" w:hAnsi="Arial"/>
          <w:sz w:val="24"/>
          <w:szCs w:val="24"/>
        </w:rPr>
        <w:t xml:space="preserve">В рамках выполнения статьи 1 "Публикация и наличие информации" и статьи 10 "Операции, связанные с импортом, экспортом и транзитом" Плана, в настоящее время функционирует разработанный Информационный торговый портал, оператором которого является государственное предприятие "Центр "единого окна" в сфере внешней торговли при Министерстве экономики и коммерции Кыргызской Республики" (далее - ГП ЦЕО). Информационный торговый портал содержит информацию о пошаговых процедурах экспорта и импорта 62 наименований товаров, транзита с третьими странами и странами ЕАЭС разными видами транспорта, реэкспорта, реимпорта, временного вывоза и ввоза, а также других трансграничных процедур. На Информационном торговом портале дополняется и поддерживается актуальная информация о трансграничных процедурах.</w:t>
      </w:r>
    </w:p>
    <w:p>
      <w:pPr>
        <w:spacing w:after="120"/>
        <w:ind w:firstLine="567"/>
        <w:jc w:val="both"/>
      </w:pPr>
      <w:r>
        <w:rPr>
          <w:rFonts w:ascii="Arial" w:cs="Arial" w:eastAsia="Arial" w:hAnsi="Arial"/>
          <w:sz w:val="24"/>
          <w:szCs w:val="24"/>
        </w:rPr>
        <w:t xml:space="preserve">В настоящее время, функционирует модернизированная Информационная система "единого окна" (далее - ИСЕО). Данная система позволяет участникам внешнеэкономической деятельности подавать заявки на получение разрешительных и иных документов в электронном формате, а также обеспечивать заинтересованным сторонам доступ к выданным документам и необходимым данным. В систему обеспечен ввод 12 ведомств и 11 экспертных организаций, что позволяет выдавать в электронном формате около 50 видов разрешительных и иных документов, необходимых для осуществления внешнеэкономической и иной деятельности. Предприниматели - участники внешнеэкономической деятельности подают посредством ИСЕО заявку на получение разрешительных документов двумя способами: 1) оператором ИСЕО от имени заявителя - в форме электронного документа, подписанного электронной подписью оператора ИСЕО, на основании обращения заявителя на бумажном носителе; 2) заявителем - в форме электронного документа, подписанного электронной подписью заявителя, через учетную запись в ИСЕО.</w:t>
      </w:r>
    </w:p>
    <w:p>
      <w:pPr>
        <w:spacing w:after="120"/>
        <w:ind w:firstLine="567"/>
        <w:jc w:val="both"/>
      </w:pPr>
      <w:r>
        <w:rPr>
          <w:rFonts w:ascii="Arial" w:cs="Arial" w:eastAsia="Arial" w:hAnsi="Arial"/>
          <w:sz w:val="24"/>
          <w:szCs w:val="24"/>
        </w:rPr>
        <w:t xml:space="preserve">Также для удобства подачи заявок, с целью оказания бизнесу услуг по приему заявок через ИСЕО на получение разрешительных и иных документов для осуществления внешнеэкономической деятельности, сотрудники сервис-центра ГП ЦЕО размещены в центрах обслуживания предпринимателей в городах Бишкек и Ош.</w:t>
      </w:r>
    </w:p>
    <w:p>
      <w:pPr>
        <w:spacing w:after="120"/>
        <w:ind w:firstLine="567"/>
        <w:jc w:val="both"/>
      </w:pPr>
      <w:r>
        <w:rPr>
          <w:rFonts w:ascii="Arial" w:cs="Arial" w:eastAsia="Arial" w:hAnsi="Arial"/>
          <w:sz w:val="24"/>
          <w:szCs w:val="24"/>
        </w:rPr>
        <w:t xml:space="preserve">В соответствии со статьей 35 Договора о Евразийском экономическом союзе от 29 мая 2014 года режим свободной торговли с третьей стороной устанавливается на основании международного договора Евразийского экономического союза с третьей стороной. На сегодняшний день подписаны Соглашения о свободной торговле между Евразийским экономическим союзом и его государствами-членами с такими странами, как Вьетнам, Сербия, Сингапур, Иран. Проводятся переговоры по заключению соглашений о свободной торговле с такими странами, как Египет, Индонезия, Индия, Монголия и ОАЭ.</w:t>
      </w:r>
    </w:p>
    <w:p>
      <w:pPr>
        <w:spacing w:after="120"/>
        <w:ind w:firstLine="567"/>
        <w:jc w:val="both"/>
      </w:pPr>
      <w:r>
        <w:rPr>
          <w:rFonts w:ascii="Arial" w:cs="Arial" w:eastAsia="Arial" w:hAnsi="Arial"/>
          <w:sz w:val="24"/>
          <w:szCs w:val="24"/>
        </w:rPr>
        <w:t xml:space="preserve">На сегодняшний день в Кыргызской Республике инфраструктура пунктов пропуска на таможенной границе Евразийского экономического союза полностью соответствует единым типовым требованиям к оборудованию и материально-техническому оснащению зданий, помещений и сооружений, необходимых для организации государственного контроля, осуществляемого в пунктах пропуска. В соответствии с Договором о Евразийском экономическом союзе от 29 мая 2014 года свободное перемещение товаров между территориями государств-членов осуществляется без применения таможенного декларирования. С целью повышения эффективности таможенного администрирования, ускорения и упрощения бизнес-процессов реализуется Концепция развития таможенной службы Кыргызской Республики на 2022-2024 годы, основным направлением работы в которой определена цифровизация всех таможенных процессов.</w:t>
      </w:r>
    </w:p>
    <w:p>
      <w:pPr>
        <w:spacing w:after="120"/>
        <w:ind w:firstLine="567"/>
        <w:jc w:val="both"/>
      </w:pPr>
      <w:r>
        <w:rPr>
          <w:rFonts w:ascii="Arial" w:cs="Arial" w:eastAsia="Arial" w:hAnsi="Arial"/>
          <w:sz w:val="24"/>
          <w:szCs w:val="24"/>
        </w:rPr>
        <w:t xml:space="preserve">Кыргызская Республика в период с 27 января 2016 года по 31 декабря 2023 года являлась пользователем Всеобщей системы преференций + Европейского союза (далее - ВСП+), предоставляющей возможность выхода на преференциальных условиях на рынок 28 стран Европейского союза. Таможенные льготы на 6200 товарных позиций (66% всей товарной номенклатуры), на отечественную экспортируемую продукцию в рамках ВСП+ ведут к значительной экономии средств экспортеров за счет сокращения расходов на таможенные пошлины.</w:t>
      </w:r>
    </w:p>
    <w:p>
      <w:pPr>
        <w:spacing w:after="120"/>
        <w:ind w:firstLine="567"/>
        <w:jc w:val="both"/>
      </w:pPr>
      <w:r>
        <w:rPr>
          <w:rFonts w:ascii="Arial" w:cs="Arial" w:eastAsia="Arial" w:hAnsi="Arial"/>
          <w:sz w:val="24"/>
          <w:szCs w:val="24"/>
        </w:rPr>
        <w:t xml:space="preserve">Основные статьи кыргызского экспорта в Европейский союз включают фасоль, мед, войлочные изделия, швейные и текстильные изделия, грибы, лекарственное сырье (мумие, БАДы), яблоки, масло натуральное (ореховое, миндальное), сушеные бобовые овощи, табачное сырье и табачные отходы, семена цветов, лом и отходы цветных металлов, а также охотничьи трофеи. Также, в Кыргызской Республике в настоящее время действует система REX - это система сертификации происхождения товаров, позволяющая экспортеру самостоятельно производить сертификацию происхождения товара для дальнейшего получения тарифной льготы. И принимая во внимание, что отечественные предприниматели только начали адаптироваться к условиям поставок на рынок Европейского союза, для Кыргызской Республики актуально сохранение статуса пользователя ВСП+. Это поможет обеспечить благоприятные условия для экспорта на рынок Европейского союза и поддержать развитие малого и среднего бизнеса в стране. В связи с чем Кыргызская Республика обращалась к Европейской комиссии с просьбой продлить действие ВСП+ без дополнительных обязательств, в результате действие ВСП+ продлено до 2027 года.</w:t>
      </w:r>
    </w:p>
    <w:p>
      <w:pPr>
        <w:spacing w:after="120"/>
        <w:ind w:firstLine="567"/>
        <w:jc w:val="both"/>
      </w:pPr>
      <w:r>
        <w:rPr>
          <w:rFonts w:ascii="Arial" w:cs="Arial" w:eastAsia="Arial" w:hAnsi="Arial"/>
          <w:sz w:val="24"/>
          <w:szCs w:val="24"/>
        </w:rPr>
        <w:t xml:space="preserve">В рамках работы по содействию развитию экспорта в сентябре 2023 года учреждено Государственное учреждение "Центр по развитию и продвижению экспорта "Кыргыз Экспорт" при Министерстве экономики и коммерции Кыргызской Республики (далее - Кыргыз Экспорт). Целями и задачами Кыргыз Экспорта является повышение качества и эффективности исполнения функций по развитию и продвижению экспорта, рост экспортного потенциала и конкурентоспособности отечественных производителей, усиление государственных механизмов по развитию и продвижению экспорта в Кыргызской Республике. На сегодняшний день Кыргыз Экспорт играет центральную стимулирующую роль в развитии экспорта страны.</w:t>
      </w:r>
    </w:p>
    <w:p>
      <w:pPr>
        <w:spacing w:after="120"/>
        <w:ind w:firstLine="567"/>
        <w:jc w:val="both"/>
      </w:pPr>
      <w:r>
        <w:rPr>
          <w:rFonts w:ascii="Arial" w:cs="Arial" w:eastAsia="Arial" w:hAnsi="Arial"/>
          <w:sz w:val="24"/>
          <w:szCs w:val="24"/>
        </w:rPr>
        <w:t xml:space="preserve">Также учреждены и в 2023 году начали свою деятельность торговые представительства Кыргызской Республики в Китайской Народной Республике, Турции и Узбекистане.</w:t>
      </w:r>
    </w:p>
    <w:p>
      <w:pPr>
        <w:spacing w:after="120"/>
        <w:ind w:firstLine="567"/>
        <w:jc w:val="both"/>
      </w:pPr>
      <w:r>
        <w:rPr>
          <w:rFonts w:ascii="Arial" w:cs="Arial" w:eastAsia="Arial" w:hAnsi="Arial"/>
          <w:sz w:val="24"/>
          <w:szCs w:val="24"/>
        </w:rPr>
        <w:t xml:space="preserve">Также в 2024 году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халал-индустрии в Кыргызской Республике", основной целью которого является определение правовых основ производства халал-продукции и оказания услуг в Кыргызской Республике, создание базовых условий для производства и экспорта конкурентоспособной, экологически чистой и качественной сельскохозяйственной продукции, продукции перерабатывающей промышленности в соответствии с международными стандартами и требованиями к халал-продукции и услугам, а также повышение доверия к ним. Согласно вышеуказанному Закону в сфере халал-индустрии будет вестись Реестр национального знака "халал" который должен стать инструментом для продвижения кыргызской халал-продукции как бренда с высоким уровнем доверия и качества на международном и внутреннем рынках, что в свою очередь будет способствовать развитию халал-индустрии и увеличению экспортного потенциала страны.</w:t>
      </w:r>
    </w:p>
    <w:p>
      <w:pPr>
        <w:spacing w:after="120"/>
        <w:ind w:firstLine="567"/>
        <w:jc w:val="both"/>
      </w:pPr>
      <w:r>
        <w:rPr>
          <w:rFonts w:ascii="Arial" w:cs="Arial" w:eastAsia="Arial" w:hAnsi="Arial"/>
          <w:sz w:val="24"/>
          <w:szCs w:val="24"/>
        </w:rPr>
        <w:t xml:space="preserve">Несмотря на усилия, направленные на развитие экспорта страны и поддержку отечественных производителей, имеется ряд барьеров/проблем, сдерживающих рост экспорта отечественной продукции.</w:t>
      </w:r>
    </w:p>
    <w:p>
      <w:pPr>
        <w:spacing w:after="120"/>
        <w:ind w:firstLine="567"/>
        <w:jc w:val="both"/>
      </w:pPr>
      <w:r>
        <w:rPr>
          <w:rFonts w:ascii="Arial" w:cs="Arial" w:eastAsia="Arial" w:hAnsi="Arial"/>
          <w:sz w:val="24"/>
          <w:szCs w:val="24"/>
        </w:rPr>
        <w:t xml:space="preserve">В рамках рассматриваемых товарных секторов проблемная ситуация заключается в следующем:</w:t>
      </w:r>
    </w:p>
    <w:p>
      <w:pPr>
        <w:spacing w:after="120"/>
        <w:ind w:firstLine="567"/>
        <w:jc w:val="both"/>
      </w:pPr>
      <w:r>
        <w:rPr>
          <w:rFonts w:ascii="Arial" w:cs="Arial" w:eastAsia="Arial" w:hAnsi="Arial"/>
          <w:sz w:val="24"/>
          <w:szCs w:val="24"/>
        </w:rPr>
        <w:t xml:space="preserve">- недостаточный уровень потенциала у отечественных производителей и торговых компаний по вопросам ведения международного бизнеса, особенно по экспортным поставкам;</w:t>
      </w:r>
    </w:p>
    <w:p>
      <w:pPr>
        <w:spacing w:after="120"/>
        <w:ind w:firstLine="567"/>
        <w:jc w:val="both"/>
      </w:pPr>
      <w:r>
        <w:rPr>
          <w:rFonts w:ascii="Arial" w:cs="Arial" w:eastAsia="Arial" w:hAnsi="Arial"/>
          <w:sz w:val="24"/>
          <w:szCs w:val="24"/>
        </w:rPr>
        <w:t xml:space="preserve">- отсутствие соответствующей информационной и аналитической работы для подготовки продвижения экспорта;</w:t>
      </w:r>
    </w:p>
    <w:p>
      <w:pPr>
        <w:spacing w:after="120"/>
        <w:ind w:firstLine="567"/>
        <w:jc w:val="both"/>
      </w:pPr>
      <w:r>
        <w:rPr>
          <w:rFonts w:ascii="Arial" w:cs="Arial" w:eastAsia="Arial" w:hAnsi="Arial"/>
          <w:sz w:val="24"/>
          <w:szCs w:val="24"/>
        </w:rPr>
        <w:t xml:space="preserve">- сложности в комплексном решении актуальных задач по подготовке экспорта и вывода товаров на внешние рынки, включая исследование рынка, повышение компетенции и навыков руководителей и персонала предприятий, подготовка предложений в виде экспортной продукции, сопровождение переговорного процесса с потенциальными импортерами и др.;</w:t>
      </w:r>
    </w:p>
    <w:p>
      <w:pPr>
        <w:spacing w:after="120"/>
        <w:ind w:firstLine="567"/>
        <w:jc w:val="both"/>
      </w:pPr>
      <w:r>
        <w:rPr>
          <w:rFonts w:ascii="Arial" w:cs="Arial" w:eastAsia="Arial" w:hAnsi="Arial"/>
          <w:sz w:val="24"/>
          <w:szCs w:val="24"/>
        </w:rPr>
        <w:t xml:space="preserve">- низкий уровень добавленной стоимости экспортной продукции;</w:t>
      </w:r>
    </w:p>
    <w:p>
      <w:pPr>
        <w:spacing w:after="120"/>
        <w:ind w:firstLine="567"/>
        <w:jc w:val="both"/>
      </w:pPr>
      <w:r>
        <w:rPr>
          <w:rFonts w:ascii="Arial" w:cs="Arial" w:eastAsia="Arial" w:hAnsi="Arial"/>
          <w:sz w:val="24"/>
          <w:szCs w:val="24"/>
        </w:rPr>
        <w:t xml:space="preserve">- недостаточное обеспечение финансовым и человеческим ресурсами;</w:t>
      </w:r>
    </w:p>
    <w:p>
      <w:pPr>
        <w:spacing w:after="120"/>
        <w:ind w:firstLine="567"/>
        <w:jc w:val="both"/>
      </w:pPr>
      <w:r>
        <w:rPr>
          <w:rFonts w:ascii="Arial" w:cs="Arial" w:eastAsia="Arial" w:hAnsi="Arial"/>
          <w:sz w:val="24"/>
          <w:szCs w:val="24"/>
        </w:rPr>
        <w:t xml:space="preserve">- слабое, неравномерное учебно-консультационное и информационное обслуживание фермеров;</w:t>
      </w:r>
    </w:p>
    <w:p>
      <w:pPr>
        <w:spacing w:after="120"/>
        <w:ind w:firstLine="567"/>
        <w:jc w:val="both"/>
      </w:pPr>
      <w:r>
        <w:rPr>
          <w:rFonts w:ascii="Arial" w:cs="Arial" w:eastAsia="Arial" w:hAnsi="Arial"/>
          <w:sz w:val="24"/>
          <w:szCs w:val="24"/>
        </w:rPr>
        <w:t xml:space="preserve">- высокие временные и финансовые затраты на соблюдение формальностей и обеспечение соответствия установленным требованиям;</w:t>
      </w:r>
    </w:p>
    <w:p>
      <w:pPr>
        <w:spacing w:after="120"/>
        <w:ind w:firstLine="567"/>
        <w:jc w:val="both"/>
      </w:pPr>
      <w:r>
        <w:rPr>
          <w:rFonts w:ascii="Arial" w:cs="Arial" w:eastAsia="Arial" w:hAnsi="Arial"/>
          <w:sz w:val="24"/>
          <w:szCs w:val="24"/>
        </w:rPr>
        <w:t xml:space="preserve">- отсутствие специализированных кредитных продуктов для экспортеров;</w:t>
      </w:r>
    </w:p>
    <w:p>
      <w:pPr>
        <w:spacing w:after="120"/>
        <w:ind w:firstLine="567"/>
        <w:jc w:val="both"/>
      </w:pPr>
      <w:r>
        <w:rPr>
          <w:rFonts w:ascii="Arial" w:cs="Arial" w:eastAsia="Arial" w:hAnsi="Arial"/>
          <w:sz w:val="24"/>
          <w:szCs w:val="24"/>
        </w:rPr>
        <w:t xml:space="preserve">- низкий уровень финансовой грамотности представителей отечественного бизнеса;</w:t>
      </w:r>
    </w:p>
    <w:p>
      <w:pPr>
        <w:spacing w:after="120"/>
        <w:ind w:firstLine="567"/>
        <w:jc w:val="both"/>
      </w:pPr>
      <w:r>
        <w:rPr>
          <w:rFonts w:ascii="Arial" w:cs="Arial" w:eastAsia="Arial" w:hAnsi="Arial"/>
          <w:sz w:val="24"/>
          <w:szCs w:val="24"/>
        </w:rPr>
        <w:t xml:space="preserve">- ограниченный доступ к соответствующей информации по банковским продуктам;</w:t>
      </w:r>
    </w:p>
    <w:p>
      <w:pPr>
        <w:spacing w:after="120"/>
        <w:ind w:firstLine="567"/>
        <w:jc w:val="both"/>
      </w:pPr>
      <w:r>
        <w:rPr>
          <w:rFonts w:ascii="Arial" w:cs="Arial" w:eastAsia="Arial" w:hAnsi="Arial"/>
          <w:sz w:val="24"/>
          <w:szCs w:val="24"/>
        </w:rPr>
        <w:t xml:space="preserve">- отсутствие возможности проведения необходимых анализов в лабораториях на территории Кыргызской Республики;</w:t>
      </w:r>
    </w:p>
    <w:p>
      <w:pPr>
        <w:spacing w:after="120"/>
        <w:ind w:firstLine="567"/>
        <w:jc w:val="both"/>
      </w:pPr>
      <w:r>
        <w:rPr>
          <w:rFonts w:ascii="Arial" w:cs="Arial" w:eastAsia="Arial" w:hAnsi="Arial"/>
          <w:sz w:val="24"/>
          <w:szCs w:val="24"/>
        </w:rPr>
        <w:t xml:space="preserve">- отсутствие необходимых реактивов в лабораториях;</w:t>
      </w:r>
    </w:p>
    <w:p>
      <w:pPr>
        <w:spacing w:after="120"/>
        <w:ind w:firstLine="567"/>
        <w:jc w:val="both"/>
      </w:pPr>
      <w:r>
        <w:rPr>
          <w:rFonts w:ascii="Arial" w:cs="Arial" w:eastAsia="Arial" w:hAnsi="Arial"/>
          <w:sz w:val="24"/>
          <w:szCs w:val="24"/>
        </w:rPr>
        <w:t xml:space="preserve">- повторная сертификация экспортных товаров в Россию, КНР (фитосанитарный сертификат);</w:t>
      </w:r>
    </w:p>
    <w:p>
      <w:pPr>
        <w:spacing w:after="120"/>
        <w:ind w:firstLine="567"/>
        <w:jc w:val="both"/>
      </w:pPr>
      <w:r>
        <w:rPr>
          <w:rFonts w:ascii="Arial" w:cs="Arial" w:eastAsia="Arial" w:hAnsi="Arial"/>
          <w:sz w:val="24"/>
          <w:szCs w:val="24"/>
        </w:rPr>
        <w:t xml:space="preserve">- недостаточные знания и применение среди фермеров и производителей стандартов Global G.A.P., а также недостаточное внедрение систем менеджмента, таких как ISO 9001, ISO 22000, FSSC 22000;</w:t>
      </w:r>
    </w:p>
    <w:p>
      <w:pPr>
        <w:spacing w:after="120"/>
        <w:ind w:firstLine="567"/>
        <w:jc w:val="both"/>
      </w:pPr>
      <w:r>
        <w:rPr>
          <w:rFonts w:ascii="Arial" w:cs="Arial" w:eastAsia="Arial" w:hAnsi="Arial"/>
          <w:sz w:val="24"/>
          <w:szCs w:val="24"/>
        </w:rPr>
        <w:t xml:space="preserve">- перебои с транспортной логистикой при экспорте продукции и при импорте сырья.</w:t>
      </w:r>
    </w:p>
    <w:p>
      <w:pPr>
        <w:spacing w:after="240" w:before="200"/>
        <w:jc w:val="center"/>
      </w:pPr>
      <w:r>
        <w:rPr>
          <w:rFonts w:ascii="Arial" w:cs="Arial" w:eastAsia="Arial" w:hAnsi="Arial"/>
          <w:b/>
          <w:bCs/>
          <w:sz w:val="32"/>
          <w:szCs w:val="32"/>
        </w:rPr>
        <w:t xml:space="preserve">Глава 3. Цель Программы</w:t>
      </w:r>
    </w:p>
    <w:p>
      <w:pPr>
        <w:spacing w:after="120"/>
        <w:ind w:firstLine="567"/>
        <w:jc w:val="both"/>
      </w:pPr>
      <w:r>
        <w:rPr>
          <w:rFonts w:ascii="Arial" w:cs="Arial" w:eastAsia="Arial" w:hAnsi="Arial"/>
          <w:sz w:val="24"/>
          <w:szCs w:val="24"/>
        </w:rPr>
        <w:t xml:space="preserve">Основной целью Национальной экспортной программы "Сделано в Кыргызстане" на 2025-2028 годы является увеличение объемов экспорта, финансовых потоков от экспортной деятельности и повышение международной узнаваемости отечественной продукции под брендом "Сделано в Кыргызстане".</w:t>
      </w:r>
    </w:p>
    <w:p>
      <w:pPr>
        <w:spacing w:after="120"/>
        <w:ind w:firstLine="567"/>
        <w:jc w:val="both"/>
      </w:pPr>
      <w:r>
        <w:rPr>
          <w:rFonts w:ascii="Arial" w:cs="Arial" w:eastAsia="Arial" w:hAnsi="Arial"/>
          <w:sz w:val="24"/>
          <w:szCs w:val="24"/>
        </w:rPr>
        <w:t xml:space="preserve">При этом для достижения основной цели Программа также предусматривает подцели, такие как:</w:t>
      </w:r>
    </w:p>
    <w:p>
      <w:pPr>
        <w:spacing w:after="120"/>
        <w:ind w:firstLine="567"/>
        <w:jc w:val="both"/>
      </w:pPr>
      <w:r>
        <w:rPr>
          <w:rFonts w:ascii="Arial" w:cs="Arial" w:eastAsia="Arial" w:hAnsi="Arial"/>
          <w:sz w:val="24"/>
          <w:szCs w:val="24"/>
        </w:rPr>
        <w:t xml:space="preserve">- оптимизация внешнеторговых формальностей, уменьшение времени и материальных затрат экспортеров на их выполнение;</w:t>
      </w:r>
    </w:p>
    <w:p>
      <w:pPr>
        <w:spacing w:after="120"/>
        <w:ind w:firstLine="567"/>
        <w:jc w:val="both"/>
      </w:pPr>
      <w:r>
        <w:rPr>
          <w:rFonts w:ascii="Arial" w:cs="Arial" w:eastAsia="Arial" w:hAnsi="Arial"/>
          <w:sz w:val="24"/>
          <w:szCs w:val="24"/>
        </w:rPr>
        <w:t xml:space="preserve">- создание эффективной системы продвижения экспорта и развития экспортного потенциала;</w:t>
      </w:r>
    </w:p>
    <w:p>
      <w:pPr>
        <w:spacing w:after="120"/>
        <w:ind w:firstLine="567"/>
        <w:jc w:val="both"/>
      </w:pPr>
      <w:r>
        <w:rPr>
          <w:rFonts w:ascii="Arial" w:cs="Arial" w:eastAsia="Arial" w:hAnsi="Arial"/>
          <w:sz w:val="24"/>
          <w:szCs w:val="24"/>
        </w:rPr>
        <w:t xml:space="preserve">- усиление международной интеграции экспортеров и продвижение бренда "Сделано в Кыргызстане";</w:t>
      </w:r>
    </w:p>
    <w:p>
      <w:pPr>
        <w:spacing w:after="120"/>
        <w:ind w:firstLine="567"/>
        <w:jc w:val="both"/>
      </w:pPr>
      <w:r>
        <w:rPr>
          <w:rFonts w:ascii="Arial" w:cs="Arial" w:eastAsia="Arial" w:hAnsi="Arial"/>
          <w:sz w:val="24"/>
          <w:szCs w:val="24"/>
        </w:rPr>
        <w:t xml:space="preserve">- обеспечение экспортерам приоритетных секторов доступа к финансам;</w:t>
      </w:r>
    </w:p>
    <w:p>
      <w:pPr>
        <w:spacing w:after="120"/>
        <w:ind w:firstLine="567"/>
        <w:jc w:val="both"/>
      </w:pPr>
      <w:r>
        <w:rPr>
          <w:rFonts w:ascii="Arial" w:cs="Arial" w:eastAsia="Arial" w:hAnsi="Arial"/>
          <w:sz w:val="24"/>
          <w:szCs w:val="24"/>
        </w:rPr>
        <w:t xml:space="preserve">- совершенствование правовых механизмов и обеспечение внедрения международных/региональных стандартов для продвижения продукции на экспортные рынки;</w:t>
      </w:r>
    </w:p>
    <w:p>
      <w:pPr>
        <w:spacing w:after="120"/>
        <w:ind w:firstLine="567"/>
        <w:jc w:val="both"/>
      </w:pPr>
      <w:r>
        <w:rPr>
          <w:rFonts w:ascii="Arial" w:cs="Arial" w:eastAsia="Arial" w:hAnsi="Arial"/>
          <w:sz w:val="24"/>
          <w:szCs w:val="24"/>
        </w:rPr>
        <w:t xml:space="preserve">- модернизация институтов по оценке соответствия и метрологии.</w:t>
      </w:r>
    </w:p>
    <w:p>
      <w:pPr>
        <w:spacing w:after="240" w:before="200"/>
        <w:jc w:val="center"/>
      </w:pPr>
      <w:r>
        <w:rPr>
          <w:rFonts w:ascii="Arial" w:cs="Arial" w:eastAsia="Arial" w:hAnsi="Arial"/>
          <w:b/>
          <w:bCs/>
          <w:sz w:val="32"/>
          <w:szCs w:val="32"/>
        </w:rPr>
        <w:t xml:space="preserve">Глава 4. Приоритетные направления</w:t>
      </w:r>
    </w:p>
    <w:p>
      <w:pPr>
        <w:spacing w:after="240" w:before="200"/>
        <w:jc w:val="center"/>
      </w:pPr>
      <w:r>
        <w:rPr>
          <w:rFonts w:ascii="Arial" w:cs="Arial" w:eastAsia="Arial" w:hAnsi="Arial"/>
          <w:b/>
          <w:bCs/>
          <w:sz w:val="32"/>
          <w:szCs w:val="32"/>
        </w:rPr>
        <w:t xml:space="preserve">§ 4.1. Продвижение экспорта</w:t>
      </w:r>
    </w:p>
    <w:p>
      <w:pPr>
        <w:spacing w:after="120"/>
        <w:ind w:firstLine="567"/>
        <w:jc w:val="both"/>
      </w:pPr>
      <w:r>
        <w:rPr>
          <w:rFonts w:ascii="Arial" w:cs="Arial" w:eastAsia="Arial" w:hAnsi="Arial"/>
          <w:sz w:val="24"/>
          <w:szCs w:val="24"/>
        </w:rPr>
        <w:t xml:space="preserve">Для большинства экономик развитых стран и развивающихся стран с высокими показателями развития экономики политика продвижения экспорта является фундаментальной и проявляется в форме создания институциональных условий развития и продвижения экспорта.</w:t>
      </w:r>
    </w:p>
    <w:p>
      <w:pPr>
        <w:spacing w:after="120"/>
        <w:ind w:firstLine="567"/>
        <w:jc w:val="both"/>
      </w:pPr>
      <w:r>
        <w:rPr>
          <w:rFonts w:ascii="Arial" w:cs="Arial" w:eastAsia="Arial" w:hAnsi="Arial"/>
          <w:sz w:val="24"/>
          <w:szCs w:val="24"/>
        </w:rPr>
        <w:t xml:space="preserve">Одним из центральных элементов государственной политики в этой области является создание специализированных организаций, отвечающих за развитие и продвижение экспортной деятельности. За последние 8 лет в Кыргызской Республике были осуществлены попытки наделить функциями по продвижению экспорта агентства, основным мандатом которых не являлось продвижение экспорта. При этом человеческие ресурсы для реализации политики по продвижению экспорта были минимальными и недостаточными - от 4 до 8 человек. Для сравнения штатная численность сотрудников по поддержке экспорта в Казахстане выше 100 человек. Мировой опыт и практика стран ЕАЭС показывают важность политики по продвижению экспорта, которая выражается в выделении существенных человеческих и финансовых ресурсов организациям по продвижению экспорта.</w:t>
      </w:r>
    </w:p>
    <w:p>
      <w:pPr>
        <w:spacing w:after="120"/>
        <w:ind w:firstLine="567"/>
        <w:jc w:val="both"/>
      </w:pPr>
      <w:r>
        <w:rPr>
          <w:rFonts w:ascii="Arial" w:cs="Arial" w:eastAsia="Arial" w:hAnsi="Arial"/>
          <w:sz w:val="24"/>
          <w:szCs w:val="24"/>
        </w:rPr>
        <w:t xml:space="preserve">В этой связи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создании государственного учреждения "Центр по развитию и продвижению экспорта "Кыргыз Экспорт" при Министерстве экономики и коммерции Кыргызской Республики" от 22 сентября 2023 года № 497 создана специализированная организация - Кыргыз Экспорт, которая будет играть центральную стимулирующую роль в развитии экспорта страны.</w:t>
      </w:r>
    </w:p>
    <w:p>
      <w:pPr>
        <w:spacing w:after="240" w:before="200"/>
        <w:jc w:val="center"/>
      </w:pPr>
      <w:r>
        <w:rPr>
          <w:rFonts w:ascii="Arial" w:cs="Arial" w:eastAsia="Arial" w:hAnsi="Arial"/>
          <w:b/>
          <w:bCs/>
          <w:sz w:val="32"/>
          <w:szCs w:val="32"/>
        </w:rPr>
        <w:t xml:space="preserve">§ 4.2. Улучшение доступа к финансам</w:t>
      </w:r>
    </w:p>
    <w:p>
      <w:pPr>
        <w:spacing w:after="120"/>
        <w:ind w:firstLine="567"/>
        <w:jc w:val="both"/>
      </w:pPr>
      <w:r>
        <w:rPr>
          <w:rFonts w:ascii="Arial" w:cs="Arial" w:eastAsia="Arial" w:hAnsi="Arial"/>
          <w:sz w:val="24"/>
          <w:szCs w:val="24"/>
        </w:rPr>
        <w:t xml:space="preserve">В соответствии с Планом мероприятий по реализации Программы Правительства Кыргызской Республики по развитию экспорта Кыргызской Республики на 2019-2022 годы были предусмотрены разработка и внедрение новых финансовых инструментов в банковской системе. Однако, несмотря на все усилия органов исполнительной власти, до сегодняшнего дня современные и востребованные механизмы торгового финансирования не внедрены в соответствующей мере, а если даже внедрены некоторые составляющие данных механизмов, то они не смогли показать достаточную эффективность.</w:t>
      </w:r>
    </w:p>
    <w:p>
      <w:pPr>
        <w:spacing w:after="120"/>
        <w:ind w:firstLine="567"/>
        <w:jc w:val="both"/>
      </w:pPr>
      <w:r>
        <w:rPr>
          <w:rFonts w:ascii="Arial" w:cs="Arial" w:eastAsia="Arial" w:hAnsi="Arial"/>
          <w:sz w:val="24"/>
          <w:szCs w:val="24"/>
        </w:rPr>
        <w:t xml:space="preserve">Проведенный анализ показывает, что основными предоставляемыми услугами банковской системы являются традиционные виды финансовых инструментов, которые предполагают наличие у покупателей денежных средств, собственных или заемных, посредством которых и осуществляются расчеты. Наиболее перспективным направлением является развитие факторинговых операций. Данный вид банковской услуги является очень удобным способом покрытия кассовых разрывов производителей-экспортеров продукции в период между отгрузкой товара в адрес импортера и получением от него денежных средств за отправленный товар.</w:t>
      </w:r>
    </w:p>
    <w:p>
      <w:pPr>
        <w:spacing w:after="240" w:before="200"/>
        <w:jc w:val="center"/>
      </w:pPr>
      <w:r>
        <w:rPr>
          <w:rFonts w:ascii="Arial" w:cs="Arial" w:eastAsia="Arial" w:hAnsi="Arial"/>
          <w:b/>
          <w:bCs/>
          <w:sz w:val="32"/>
          <w:szCs w:val="32"/>
        </w:rPr>
        <w:t xml:space="preserve">§ 4.3. Упрощение процедур торговли</w:t>
      </w:r>
    </w:p>
    <w:p>
      <w:pPr>
        <w:spacing w:after="120"/>
        <w:ind w:firstLine="567"/>
        <w:jc w:val="both"/>
      </w:pPr>
      <w:r>
        <w:rPr>
          <w:rFonts w:ascii="Arial" w:cs="Arial" w:eastAsia="Arial" w:hAnsi="Arial"/>
          <w:sz w:val="24"/>
          <w:szCs w:val="24"/>
        </w:rPr>
        <w:t xml:space="preserve">Интерес к экспортной деятельности у предприятий напрямую зависит от скорости прохождения и простоты процедур при трансграничном перемещении товаров, поэтому создание наиболее благоприятных условий для экспортеров с помощью упрощения процедур торговли является важной задачей государства.</w:t>
      </w:r>
    </w:p>
    <w:p>
      <w:pPr>
        <w:spacing w:after="120"/>
        <w:ind w:firstLine="567"/>
        <w:jc w:val="both"/>
      </w:pPr>
      <w:r>
        <w:rPr>
          <w:rFonts w:ascii="Arial" w:cs="Arial" w:eastAsia="Arial" w:hAnsi="Arial"/>
          <w:sz w:val="24"/>
          <w:szCs w:val="24"/>
        </w:rPr>
        <w:t xml:space="preserve">Оптимизация внешнеторговых формальностей, обеспечивающих движение товара по экспортному пути, помимо простоты и привлекательности для экспортера, непосредственно нацелена на уменьшение времени и материальных затрат на выполнение операций. В конечном счете именно эти факторы определяют конкурентоспособность экспортируемого страной товара - скорость доставки товара иностранному покупателю и конкурентная цена.</w:t>
      </w:r>
    </w:p>
    <w:p>
      <w:pPr>
        <w:spacing w:after="120"/>
        <w:ind w:firstLine="567"/>
        <w:jc w:val="both"/>
      </w:pPr>
      <w:r>
        <w:rPr>
          <w:rFonts w:ascii="Arial" w:cs="Arial" w:eastAsia="Arial" w:hAnsi="Arial"/>
          <w:sz w:val="24"/>
          <w:szCs w:val="24"/>
        </w:rPr>
        <w:t xml:space="preserve">Затраты, связанные с неэффективными трансграничными операциями, составляют значительную долю общих торговых издержек, что подчеркивает необходимость устранения недостатков инфраструктуры пересечения границ параллельно с совершенствованием процедур пересечения границ. За последние несколько лет процедуры пересечения границы между Республикой Казахстан и Кыргызской Республикой усложнились, что привело к увеличению задержек на границе. В настоящее время около 50% общего транзитного времени в ЭКАБ грузовые автомобили проводят на границах, что приводит к недоиспользованию транспортных средств. Текущая загрузка грузового транспорта в коридоре оценивается в 25-35%, тогда как, согласно международной практике, автоперевозчики достигают в среднем 75% загрузки грузовых автомобилей.</w:t>
      </w:r>
    </w:p>
    <w:p>
      <w:pPr>
        <w:spacing w:after="120"/>
        <w:ind w:firstLine="567"/>
        <w:jc w:val="both"/>
      </w:pPr>
      <w:r>
        <w:rPr>
          <w:rFonts w:ascii="Arial" w:cs="Arial" w:eastAsia="Arial" w:hAnsi="Arial"/>
          <w:sz w:val="24"/>
          <w:szCs w:val="24"/>
        </w:rPr>
        <w:t xml:space="preserve">Упрощение процедур торговли играет ключевую роль в стимулировании международной торговли и экономического роста, делая торговлю более доступной и эффективной для всех участников, и включает в себя не только аспекты, связанные с пересечением границ, но и широкий спектр мероприятий, касающийся всех этапов торговых операций. Важно отметить, что упрощение процедур торговли затрагивает не только физические барьеры и транспортные процессы, но также включает в себя улучшение внутренней инфраструктуры, оптимизацию логистических решений, создание благоприятных условий для ведения бизнеса, оптимизацию административных процедур и снижение административных барьеров.</w:t>
      </w:r>
    </w:p>
    <w:p>
      <w:pPr>
        <w:spacing w:after="240" w:before="200"/>
        <w:jc w:val="center"/>
      </w:pPr>
      <w:r>
        <w:rPr>
          <w:rFonts w:ascii="Arial" w:cs="Arial" w:eastAsia="Arial" w:hAnsi="Arial"/>
          <w:b/>
          <w:bCs/>
          <w:sz w:val="32"/>
          <w:szCs w:val="32"/>
        </w:rPr>
        <w:t xml:space="preserve">§ 4.4. Поддержка и развитие инфраструктуры качества</w:t>
      </w:r>
    </w:p>
    <w:p>
      <w:pPr>
        <w:spacing w:after="120"/>
        <w:ind w:firstLine="567"/>
        <w:jc w:val="both"/>
      </w:pPr>
      <w:r>
        <w:rPr>
          <w:rFonts w:ascii="Arial" w:cs="Arial" w:eastAsia="Arial" w:hAnsi="Arial"/>
          <w:sz w:val="24"/>
          <w:szCs w:val="24"/>
        </w:rPr>
        <w:t xml:space="preserve">В настоящее время существует ряд проблем, связанных с применением и соблюдением норм и правил ЕАЭС/ЕС, созданием надлежащей технической и институциональной инфраструктуры в области технического регулирования.</w:t>
      </w:r>
    </w:p>
    <w:p>
      <w:pPr>
        <w:spacing w:after="120"/>
        <w:ind w:firstLine="567"/>
        <w:jc w:val="both"/>
      </w:pPr>
      <w:r>
        <w:rPr>
          <w:rFonts w:ascii="Arial" w:cs="Arial" w:eastAsia="Arial" w:hAnsi="Arial"/>
          <w:sz w:val="24"/>
          <w:szCs w:val="24"/>
        </w:rPr>
        <w:t xml:space="preserve">Отмечается низкая гармонизация применяемых стандартов на продукцию и методов испытаний/измерений. Техническая компетентность испытательных и калибровочных лабораторий, недостаток референс-материалов, стандартных образцов, а также уровень оказываемых ими услуг, особенно в региональном разрезе, создает дополнительные барьеры при выходе на внешние рынки.</w:t>
      </w:r>
    </w:p>
    <w:p>
      <w:pPr>
        <w:spacing w:after="120"/>
        <w:ind w:firstLine="567"/>
        <w:jc w:val="both"/>
      </w:pPr>
      <w:r>
        <w:rPr>
          <w:rFonts w:ascii="Arial" w:cs="Arial" w:eastAsia="Arial" w:hAnsi="Arial"/>
          <w:sz w:val="24"/>
          <w:szCs w:val="24"/>
        </w:rPr>
        <w:t xml:space="preserve">Серьезным препятствием для экспорта продукции является недостаточное применение программ предварительных условий, систем менеджмента качества (например: НАССР, кодекс Алиментариус и др.).</w:t>
      </w:r>
    </w:p>
    <w:p>
      <w:pPr>
        <w:spacing w:after="120"/>
        <w:ind w:firstLine="567"/>
        <w:jc w:val="both"/>
      </w:pPr>
      <w:r>
        <w:rPr>
          <w:rFonts w:ascii="Arial" w:cs="Arial" w:eastAsia="Arial" w:hAnsi="Arial"/>
          <w:sz w:val="24"/>
          <w:szCs w:val="24"/>
        </w:rPr>
        <w:t xml:space="preserve">Наряду с этим стоит вопрос модернизации аккредитованных лабораторий, оснащенных оборудованием и референс-материалами для проведения анализов на качественный и количественный состав, а также соответствующий нормам предельно допустимых концентраций (ПДК) стран целевых рынков, в частности КНР, стран Персидского залива.</w:t>
      </w:r>
    </w:p>
    <w:p>
      <w:pPr>
        <w:spacing w:after="240" w:before="200"/>
        <w:jc w:val="center"/>
      </w:pPr>
      <w:r>
        <w:rPr>
          <w:rFonts w:ascii="Arial" w:cs="Arial" w:eastAsia="Arial" w:hAnsi="Arial"/>
          <w:b/>
          <w:bCs/>
          <w:sz w:val="32"/>
          <w:szCs w:val="32"/>
        </w:rPr>
        <w:t xml:space="preserve">Глава 5. Задачи и меры действия</w:t>
      </w:r>
    </w:p>
    <w:p>
      <w:pPr>
        <w:spacing w:after="240" w:before="200"/>
        <w:jc w:val="center"/>
      </w:pPr>
      <w:r>
        <w:rPr>
          <w:rFonts w:ascii="Arial" w:cs="Arial" w:eastAsia="Arial" w:hAnsi="Arial"/>
          <w:b/>
          <w:bCs/>
          <w:sz w:val="32"/>
          <w:szCs w:val="32"/>
        </w:rPr>
        <w:t xml:space="preserve">§ 5.1. Усиление государственных механизмов по продвижению экспорта</w:t>
      </w:r>
    </w:p>
    <w:p>
      <w:pPr>
        <w:spacing w:after="120"/>
        <w:ind w:firstLine="567"/>
        <w:jc w:val="both"/>
      </w:pPr>
      <w:r>
        <w:rPr>
          <w:rFonts w:ascii="Arial" w:cs="Arial" w:eastAsia="Arial" w:hAnsi="Arial"/>
          <w:sz w:val="24"/>
          <w:szCs w:val="24"/>
        </w:rPr>
        <w:t xml:space="preserve">Немаловажным аспектом в работе Кыргыз Экспорта является работа с широкой аудиторией во всех регионах Кыргызской Республики. Эту работу предлагается проводить в рамках информационной кампании "Караван экспорта". Также предлагается запуск Экспортной акселерационной программы для пилотных компаний на период 2025-2028 годов. Данная мера направлена на создание условий поддержки пилотных компаний по выходу на внешние рынки, которые должны учитывать разные критерии для отбора (например, сроки участия, требования к участникам, типы софинансирования от бизнеса, целевые показатели результатов и другое). Кроме этого, в рамках данной задачи предлагается провести ряд мероприятий: обучение персонала, проведение кабинетных исследований, составление базы данных экспортеров на постоянной основе, в том числе реализация мероприятий по продвижению продукции на целевые рынки посредством зарубежных выставок и торговых миссий.</w:t>
      </w:r>
    </w:p>
    <w:p>
      <w:pPr>
        <w:spacing w:after="240" w:before="200"/>
        <w:jc w:val="center"/>
      </w:pPr>
      <w:r>
        <w:rPr>
          <w:rFonts w:ascii="Arial" w:cs="Arial" w:eastAsia="Arial" w:hAnsi="Arial"/>
          <w:b/>
          <w:bCs/>
          <w:sz w:val="32"/>
          <w:szCs w:val="32"/>
        </w:rPr>
        <w:t xml:space="preserve">§ 5.2. Создание эффективного государственно-частного сотрудничества для развития экспортного потенциала</w:t>
      </w:r>
    </w:p>
    <w:p>
      <w:pPr>
        <w:spacing w:after="120"/>
        <w:ind w:firstLine="567"/>
        <w:jc w:val="both"/>
      </w:pPr>
      <w:r>
        <w:rPr>
          <w:rFonts w:ascii="Arial" w:cs="Arial" w:eastAsia="Arial" w:hAnsi="Arial"/>
          <w:sz w:val="24"/>
          <w:szCs w:val="24"/>
        </w:rPr>
        <w:t xml:space="preserve">В рамках данной задачи предполагается создание Экспортного совета при Кабинете Министров Кыргызской Республики. Целью создания Экспортного совета является координация мер государственной поддержки и разработка практических решений, направленных на ключевые проблемы экспорта. Для эффективной координации предполагается активное участие частного сектора в вопросах формирования повестки обсуждений на Экспортном совете, что позволит обеспечить прозрачность процессу реализации мер государственной поддержки экспорта.</w:t>
      </w:r>
    </w:p>
    <w:p>
      <w:pPr>
        <w:spacing w:after="240" w:before="200"/>
        <w:jc w:val="center"/>
      </w:pPr>
      <w:r>
        <w:rPr>
          <w:rFonts w:ascii="Arial" w:cs="Arial" w:eastAsia="Arial" w:hAnsi="Arial"/>
          <w:b/>
          <w:bCs/>
          <w:sz w:val="32"/>
          <w:szCs w:val="32"/>
        </w:rPr>
        <w:t xml:space="preserve">§ 5.3. Повышение экспортного потенциала предпринимателей из разных секторов и регионов</w:t>
      </w:r>
    </w:p>
    <w:p>
      <w:pPr>
        <w:spacing w:after="120"/>
        <w:ind w:firstLine="567"/>
        <w:jc w:val="both"/>
      </w:pPr>
      <w:r>
        <w:rPr>
          <w:rFonts w:ascii="Arial" w:cs="Arial" w:eastAsia="Arial" w:hAnsi="Arial"/>
          <w:sz w:val="24"/>
          <w:szCs w:val="24"/>
        </w:rPr>
        <w:t xml:space="preserve">Для повышения значимости экспортеров и привлечения большего числа производителей к экспорту немаловажным фактором является постоянная демонстрация позитивных примеров и успешных бизнес-кейсов экспортеров, которая будет сопровождаться базовыми тренингами для начинающих экспортеров. В Кыргызской Республике уже существует успешная площадка для продвижения успешных экспортеров - конкурс "Лучший экспортер года", которую следует также использовать для данной задачи. В рамках реализации данной задачи также предусмотрено обучение предпринимателей основам экспортной деятельности: экспортный маркетинг, международные переговоры, экспортные контракты и проведение программ профессиональных стажировок для менеджеров экспортных компаний по изучению опыта производства продукции и ведения бизнеса за рубежом.</w:t>
      </w:r>
    </w:p>
    <w:p>
      <w:pPr>
        <w:spacing w:after="240" w:before="200"/>
        <w:jc w:val="center"/>
      </w:pPr>
      <w:r>
        <w:rPr>
          <w:rFonts w:ascii="Arial" w:cs="Arial" w:eastAsia="Arial" w:hAnsi="Arial"/>
          <w:b/>
          <w:bCs/>
          <w:sz w:val="32"/>
          <w:szCs w:val="32"/>
        </w:rPr>
        <w:t xml:space="preserve">§ 5.4. Создание условий для повышения международной узнаваемости бренда "Сделано в Кыргызстане"</w:t>
      </w:r>
    </w:p>
    <w:p>
      <w:pPr>
        <w:spacing w:after="120"/>
        <w:ind w:firstLine="567"/>
        <w:jc w:val="both"/>
      </w:pPr>
      <w:r>
        <w:rPr>
          <w:rFonts w:ascii="Arial" w:cs="Arial" w:eastAsia="Arial" w:hAnsi="Arial"/>
          <w:sz w:val="24"/>
          <w:szCs w:val="24"/>
        </w:rPr>
        <w:t xml:space="preserve">Во многих странах мира национальный бренд является частью государственной экономической политики. Сегодня ни один экспортер из Кыргызской Республики не может самостоятельно проводить крупные и полномасштабные маркетинговые кампании на зарубежных рынках.</w:t>
      </w:r>
    </w:p>
    <w:p>
      <w:pPr>
        <w:spacing w:after="120"/>
        <w:ind w:firstLine="567"/>
        <w:jc w:val="both"/>
      </w:pPr>
      <w:r>
        <w:rPr>
          <w:rFonts w:ascii="Arial" w:cs="Arial" w:eastAsia="Arial" w:hAnsi="Arial"/>
          <w:sz w:val="24"/>
          <w:szCs w:val="24"/>
        </w:rPr>
        <w:t xml:space="preserve">В рамках данной задачи предполагается разработка концепции по международному продвижению имиджа продукции "Сделано в Кыргызстане", брендбука для повышения имиджа продукции "Сделано в Кыргызстане", дизайна национального стенда "Сделано в Кыргызстане" для использования на международных выставках и медиаконтента для продвижения бренда "Сделано в Кыргызстане".</w:t>
      </w:r>
    </w:p>
    <w:p>
      <w:pPr>
        <w:spacing w:after="240" w:before="200"/>
        <w:jc w:val="center"/>
      </w:pPr>
      <w:r>
        <w:rPr>
          <w:rFonts w:ascii="Arial" w:cs="Arial" w:eastAsia="Arial" w:hAnsi="Arial"/>
          <w:b/>
          <w:bCs/>
          <w:sz w:val="32"/>
          <w:szCs w:val="32"/>
        </w:rPr>
        <w:t xml:space="preserve">§ 5.5. Усиление роли загранучреждений и торговых представителей в продвижении экспорта</w:t>
      </w:r>
    </w:p>
    <w:p>
      <w:pPr>
        <w:spacing w:after="120"/>
        <w:ind w:firstLine="567"/>
        <w:jc w:val="both"/>
      </w:pPr>
      <w:r>
        <w:rPr>
          <w:rFonts w:ascii="Arial" w:cs="Arial" w:eastAsia="Arial" w:hAnsi="Arial"/>
          <w:sz w:val="24"/>
          <w:szCs w:val="24"/>
        </w:rPr>
        <w:t xml:space="preserve">Учитывая важность представления интересов на внешних рынках, многие развивающиеся страны используют имеющиеся ресурсы дипломатических миссий за рубежом. Их физическое присутствие на рынке позволяет им находить возможности для отечественных экспортеров посредством предоставления информации по вопросам местной деловой среды, культуры и языка, организации бизнес-встреч с потенциальными партнерами и консультантами.</w:t>
      </w:r>
    </w:p>
    <w:p>
      <w:pPr>
        <w:spacing w:after="120"/>
        <w:ind w:firstLine="567"/>
        <w:jc w:val="both"/>
      </w:pPr>
      <w:r>
        <w:rPr>
          <w:rFonts w:ascii="Arial" w:cs="Arial" w:eastAsia="Arial" w:hAnsi="Arial"/>
          <w:sz w:val="24"/>
          <w:szCs w:val="24"/>
        </w:rPr>
        <w:t xml:space="preserve">В рамках данной задачи предлагается проведение работы по повышению потенциала представителей загранучреждений Министерства иностранных дел Кыргызской Республики по вопросам сбора информации на целевых рынках и оказания содействия в продвижении продукции на экспорт, внедрения эффективного механизма по межведомственному взаимодействию между загранучреждениями Министерства иностранных дел Кыргызской Республики и Кыргыз Экспорта. При этом рекомендуется внедрение ключевых индикаторов эффективности деятельности загранучреждений по вопросам продвижения экспорта.</w:t>
      </w:r>
    </w:p>
    <w:p>
      <w:pPr>
        <w:spacing w:after="240" w:before="200"/>
        <w:jc w:val="center"/>
      </w:pPr>
      <w:r>
        <w:rPr>
          <w:rFonts w:ascii="Arial" w:cs="Arial" w:eastAsia="Arial" w:hAnsi="Arial"/>
          <w:b/>
          <w:bCs/>
          <w:sz w:val="32"/>
          <w:szCs w:val="32"/>
        </w:rPr>
        <w:t xml:space="preserve">§ 5.6. Улучшение доступа к финансам для экспортоориентированных предприятий</w:t>
      </w:r>
    </w:p>
    <w:p>
      <w:pPr>
        <w:spacing w:after="120"/>
        <w:ind w:firstLine="567"/>
        <w:jc w:val="both"/>
      </w:pPr>
      <w:r>
        <w:rPr>
          <w:rFonts w:ascii="Arial" w:cs="Arial" w:eastAsia="Arial" w:hAnsi="Arial"/>
          <w:sz w:val="24"/>
          <w:szCs w:val="24"/>
        </w:rPr>
        <w:t xml:space="preserve">Экспортеры, осуществляющие поставку товаров за рубеж, относятся к категории микро-, малые и средние предприятия (далее - ММСП), которые играют важную роль в развитии экономики страны. По данным Национального статистического комитета Кыргызской Республики, насчитывается 899000 ММСП (включая индивидуальных предпринимателей, крестьянские и фермерские хозяйства), в которых работает 519000 человек, ММСП вносят около 40% валового внутреннего продукта и составляют 30% от общего объема экспорта.</w:t>
      </w:r>
    </w:p>
    <w:p>
      <w:pPr>
        <w:spacing w:after="120"/>
        <w:ind w:firstLine="567"/>
        <w:jc w:val="both"/>
      </w:pPr>
      <w:r>
        <w:rPr>
          <w:rFonts w:ascii="Arial" w:cs="Arial" w:eastAsia="Arial" w:hAnsi="Arial"/>
          <w:sz w:val="24"/>
          <w:szCs w:val="24"/>
        </w:rPr>
        <w:t xml:space="preserve">Доступ к финансированию является одной из серьезных проблем, с которыми сталкиваются ММСП в Кыргызской Республике. В силу объективных и субъективных причин использование существующих в финансово-банковской системе мер осуществляется не полностью, поэтому в рамках данной задачи предлагается принять меры по продвижению уже существующих инструментов торгового финансирования для экспортных операций, разработке новых финансовых инструментов, в том числе механизма страхования экспортных операций, а также проведению анализа применимых практик по стимулированию экспортеров через финансирование транспортных расходов и определение механизмов поддержки экспортеров и критериев предоставления финансовой поддержки.</w:t>
      </w:r>
    </w:p>
    <w:p>
      <w:pPr>
        <w:spacing w:after="240" w:before="200"/>
        <w:jc w:val="center"/>
      </w:pPr>
      <w:r>
        <w:rPr>
          <w:rFonts w:ascii="Arial" w:cs="Arial" w:eastAsia="Arial" w:hAnsi="Arial"/>
          <w:b/>
          <w:bCs/>
          <w:sz w:val="32"/>
          <w:szCs w:val="32"/>
        </w:rPr>
        <w:t xml:space="preserve">§ 5.7. Создание инфраструктуры поддержки частного сектора - экспортеров</w:t>
      </w:r>
    </w:p>
    <w:p>
      <w:pPr>
        <w:spacing w:after="120"/>
        <w:ind w:firstLine="567"/>
        <w:jc w:val="both"/>
      </w:pPr>
      <w:r>
        <w:rPr>
          <w:rFonts w:ascii="Arial" w:cs="Arial" w:eastAsia="Arial" w:hAnsi="Arial"/>
          <w:sz w:val="24"/>
          <w:szCs w:val="24"/>
        </w:rPr>
        <w:t xml:space="preserve">ОАО "Гарантийный фонд" (далее - ОАО "ГФ") на сегодняшний день в большинстве предоставляет гарантии субъектам малого и среднего предприятия, ориентированным на местный рынок. Для развития экспорта необходимо определить поддержку экспортеров одним из основных направлений деятельности ОАО "ГФ".</w:t>
      </w:r>
    </w:p>
    <w:p>
      <w:pPr>
        <w:spacing w:after="120"/>
        <w:ind w:firstLine="567"/>
        <w:jc w:val="both"/>
      </w:pPr>
      <w:r>
        <w:rPr>
          <w:rFonts w:ascii="Arial" w:cs="Arial" w:eastAsia="Arial" w:hAnsi="Arial"/>
          <w:sz w:val="24"/>
          <w:szCs w:val="24"/>
        </w:rPr>
        <w:t xml:space="preserve">Необходимо также поддержать экспортеров путем активизации использования факторинговых операций, поскольку это позволит увеличить оборачиваемость оборотных средств путем получения средств по факторинговым операциям и подготовки следующей партии товаров от импортеров из других стран. Данную меру также предлагается реализовать с участием коммерческих банков Кыргызской Республики и ОАО "ГФ". Вместе с этим предлагается продолжить работу по повышению уровня финансовой грамотности сотрудников компаний, что в конечном итоге позволит улучшить состояние компаний в части производства товаров и услуг и увеличить их экспортные потенциалы и возможности реализации товаров и услуг на внешних рынках.</w:t>
      </w:r>
    </w:p>
    <w:p>
      <w:pPr>
        <w:spacing w:after="240" w:before="200"/>
        <w:jc w:val="center"/>
      </w:pPr>
      <w:r>
        <w:rPr>
          <w:rFonts w:ascii="Arial" w:cs="Arial" w:eastAsia="Arial" w:hAnsi="Arial"/>
          <w:b/>
          <w:bCs/>
          <w:sz w:val="32"/>
          <w:szCs w:val="32"/>
        </w:rPr>
        <w:t xml:space="preserve">§ 5.8. Ускорение перемещения товаров через пункты пропуска</w:t>
      </w:r>
    </w:p>
    <w:p>
      <w:pPr>
        <w:spacing w:after="120"/>
        <w:ind w:firstLine="567"/>
        <w:jc w:val="both"/>
      </w:pPr>
      <w:r>
        <w:rPr>
          <w:rFonts w:ascii="Arial" w:cs="Arial" w:eastAsia="Arial" w:hAnsi="Arial"/>
          <w:sz w:val="24"/>
          <w:szCs w:val="24"/>
        </w:rPr>
        <w:t xml:space="preserve">Для ускорения перемещения товаров через таможенную границу необходимо проводить системную работу с таможенными и пограничными администрациями соседних стран с целью реализации концепции скоординированного управления границей, реализации общей системы электронной очереди, принятия общих регламентов проведения государственного контроля в пунктах пропуска и взаимного признания результатов контроля.</w:t>
      </w:r>
    </w:p>
    <w:p>
      <w:pPr>
        <w:spacing w:after="120"/>
        <w:ind w:firstLine="567"/>
        <w:jc w:val="both"/>
      </w:pPr>
      <w:r>
        <w:rPr>
          <w:rFonts w:ascii="Arial" w:cs="Arial" w:eastAsia="Arial" w:hAnsi="Arial"/>
          <w:sz w:val="24"/>
          <w:szCs w:val="24"/>
        </w:rPr>
        <w:t xml:space="preserve">Необходимо запретить требование предоставлять копии регистрационных и других документов, доступных государственным органам в информационных системах. Кроме этого, для экспортных товаров необходимо отменить требование о предоставлении товаросопроводительных документов при таможенном декларировании.</w:t>
      </w:r>
    </w:p>
    <w:p>
      <w:pPr>
        <w:spacing w:after="120"/>
        <w:ind w:firstLine="567"/>
        <w:jc w:val="both"/>
      </w:pPr>
      <w:r>
        <w:rPr>
          <w:rFonts w:ascii="Arial" w:cs="Arial" w:eastAsia="Arial" w:hAnsi="Arial"/>
          <w:sz w:val="24"/>
          <w:szCs w:val="24"/>
        </w:rPr>
        <w:t xml:space="preserve">При этом необходимо расширить возможности предприятий по самостоятельному декларированию экспорта, исключив посредников. В информационной системе таможенных органов должны быть реализованы алгоритмы автоматической регистрации деклараций на товары, в том числе на экспортные.</w:t>
      </w:r>
    </w:p>
    <w:p>
      <w:pPr>
        <w:spacing w:after="120"/>
        <w:ind w:firstLine="567"/>
        <w:jc w:val="both"/>
      </w:pPr>
      <w:r>
        <w:rPr>
          <w:rFonts w:ascii="Arial" w:cs="Arial" w:eastAsia="Arial" w:hAnsi="Arial"/>
          <w:sz w:val="24"/>
          <w:szCs w:val="24"/>
        </w:rPr>
        <w:t xml:space="preserve">Необходимо четко регламентировать взаимодействие таможенных и пограничных органов, чтобы исключить простои транспорта на границе, а также возложить на таможенные органы функции документального контроля в части транспортного, фитосанитарного и иных видов контроля. Целесообразно перенести проставление печатей на товаросопроводительных документах при убытии товаров в пунктах пропуска.</w:t>
      </w:r>
    </w:p>
    <w:p>
      <w:pPr>
        <w:spacing w:after="240" w:before="200"/>
        <w:jc w:val="center"/>
      </w:pPr>
      <w:r>
        <w:rPr>
          <w:rFonts w:ascii="Arial" w:cs="Arial" w:eastAsia="Arial" w:hAnsi="Arial"/>
          <w:b/>
          <w:bCs/>
          <w:sz w:val="32"/>
          <w:szCs w:val="32"/>
        </w:rPr>
        <w:t xml:space="preserve">§ 5.9. Упрощение процедуры экспорта приоритетной продукции</w:t>
      </w:r>
    </w:p>
    <w:p>
      <w:pPr>
        <w:spacing w:after="120"/>
        <w:ind w:firstLine="567"/>
        <w:jc w:val="both"/>
      </w:pPr>
      <w:r>
        <w:rPr>
          <w:rFonts w:ascii="Arial" w:cs="Arial" w:eastAsia="Arial" w:hAnsi="Arial"/>
          <w:sz w:val="24"/>
          <w:szCs w:val="24"/>
        </w:rPr>
        <w:t xml:space="preserve">Для удовлетворения спроса на трансграничные перевозки к 2030 году необходимо будет принять неотложные меры. С 2019 по 2023 год объемы грузовых трансграничных перевозок в пункте пропуска "Ак-Тилек автодорожный" увеличились примерно на 90%. Среднегодовой рост составил 18%. Рост интенсивности движения в пункте пропуска "Чалдыбар-автодорожный" составил в среднем 13%. Активизация трансграничных перевозок была особенно заметна в период с 2021 по 2023 год, что частично было вызвано активизацией торговли между Кыргызской Республикой и КНР, и Россией из-за экономических санкций против России. Тем не менее ожидается, что до 2030 года трансграничный трафик на границах Республики Казахстан и Кыргызской Республики будет продолжать расти в среднем на 10% в год. Это означает, что к 2030 году пиковое значение среднесуточной интенсивности движения в пункте пропуска "Ак-Тилек автодорожный" составит около 1600 выезжающих и около 1100 въезжающих грузовых автомобилей (при условии, что пиковый спрос в 2023 году будет равен пиковому значению среднесуточной интенсивности движения).</w:t>
      </w:r>
    </w:p>
    <w:p>
      <w:pPr>
        <w:spacing w:after="120"/>
        <w:ind w:firstLine="567"/>
        <w:jc w:val="both"/>
      </w:pPr>
      <w:r>
        <w:rPr>
          <w:rFonts w:ascii="Arial" w:cs="Arial" w:eastAsia="Arial" w:hAnsi="Arial"/>
          <w:sz w:val="24"/>
          <w:szCs w:val="24"/>
        </w:rPr>
        <w:t xml:space="preserve">Таким образом, на пункте пропуска "Ак-Тилек автодорожный" потребуется предусмотреть отдельную полосу для скоропортящейся продукции, причем необходимо предусмотреть и отдельный подъездной путь к данной полосе. При этом в самое ближайшее время необходимо обеспечить отличительные знаки для транспортных средств, осуществляющих перемещение скоропортящейся продукции через пункты пропуска.</w:t>
      </w:r>
    </w:p>
    <w:p>
      <w:pPr>
        <w:spacing w:after="120"/>
        <w:ind w:firstLine="567"/>
        <w:jc w:val="both"/>
      </w:pPr>
      <w:r>
        <w:rPr>
          <w:rFonts w:ascii="Arial" w:cs="Arial" w:eastAsia="Arial" w:hAnsi="Arial"/>
          <w:sz w:val="24"/>
          <w:szCs w:val="24"/>
        </w:rPr>
        <w:t xml:space="preserve">Одновременно, следует проводить работу по установлению также отдельного пункта пропуска "Кен-Булун автодорожный" для скоропортящейся продукции, поскольку ожидается большой рост на экспорт плодово-ягодной продукции.</w:t>
      </w:r>
    </w:p>
    <w:p>
      <w:pPr>
        <w:spacing w:after="240" w:before="200"/>
        <w:jc w:val="center"/>
      </w:pPr>
      <w:r>
        <w:rPr>
          <w:rFonts w:ascii="Arial" w:cs="Arial" w:eastAsia="Arial" w:hAnsi="Arial"/>
          <w:b/>
          <w:bCs/>
          <w:sz w:val="32"/>
          <w:szCs w:val="32"/>
        </w:rPr>
        <w:t xml:space="preserve">§ 5.10. Обеспечение требований по исполнению санитарных и фитосанитарных мер, технического регламента ЕАЭС к продукции импортирующей стороны и стандартов</w:t>
      </w:r>
    </w:p>
    <w:p>
      <w:pPr>
        <w:spacing w:after="120"/>
        <w:ind w:firstLine="567"/>
        <w:jc w:val="both"/>
      </w:pPr>
      <w:r>
        <w:rPr>
          <w:rFonts w:ascii="Arial" w:cs="Arial" w:eastAsia="Arial" w:hAnsi="Arial"/>
          <w:sz w:val="24"/>
          <w:szCs w:val="24"/>
        </w:rPr>
        <w:t xml:space="preserve">В рамках вышеуказанной задачи планируется реализация мероприятий по зонированию благополучных зон по ящуру с вакцинацией. На территории Кыргызской Республики определение свободных зон, участков, мест производства от вредителей сельскохозяйственной культуры (овощные, плодовые, зерновые и бобовые культуры) позволит снизить заболеваемость, осуществить международное признание статусов благополучных зон по ящуру, с вакцинацией (сертификат Всемирной организации по охране здоровья животных), упростив экспорт продукции животного происхождения и признание системы фитосанитарной сертификации странами-импортерами (экспорт подкарантинной продукции осуществляется без применения дополнительных фитосанитарных мер).</w:t>
      </w:r>
    </w:p>
    <w:p>
      <w:pPr>
        <w:spacing w:after="120"/>
        <w:ind w:firstLine="567"/>
        <w:jc w:val="both"/>
      </w:pPr>
      <w:r>
        <w:rPr>
          <w:rFonts w:ascii="Arial" w:cs="Arial" w:eastAsia="Arial" w:hAnsi="Arial"/>
          <w:sz w:val="24"/>
          <w:szCs w:val="24"/>
        </w:rPr>
        <w:t xml:space="preserve">Также предлагается разработка, внедрение и введение национальной системы прослеживаемости для свободного перемещения продукции растительного и животного происхождения.</w:t>
      </w:r>
    </w:p>
    <w:p>
      <w:pPr>
        <w:spacing w:after="120"/>
        <w:ind w:firstLine="567"/>
        <w:jc w:val="both"/>
      </w:pPr>
      <w:r>
        <w:rPr>
          <w:rFonts w:ascii="Arial" w:cs="Arial" w:eastAsia="Arial" w:hAnsi="Arial"/>
          <w:sz w:val="24"/>
          <w:szCs w:val="24"/>
        </w:rPr>
        <w:t xml:space="preserve">Вместе с этим предлагаются меры по применению международных, региональных стандартов, стандартов других государств (КНР, КСА, ЕС, ССПЗ и др.) в отношении методов испытаний (исследований) экспортной продукции: подписание протоколов о фитосанитарных и ветеринарных требованиях, экспортируемой продукции из Кыргызской Республики в Китайскую Народную Республику, вхождение отечественных предприятий в реестр импортеров третьих стран.</w:t>
      </w:r>
    </w:p>
    <w:p>
      <w:pPr>
        <w:spacing w:after="240" w:before="200"/>
        <w:jc w:val="center"/>
      </w:pPr>
      <w:r>
        <w:rPr>
          <w:rFonts w:ascii="Arial" w:cs="Arial" w:eastAsia="Arial" w:hAnsi="Arial"/>
          <w:b/>
          <w:bCs/>
          <w:sz w:val="32"/>
          <w:szCs w:val="32"/>
        </w:rPr>
        <w:t xml:space="preserve">§ 5.11. Внедрение международных стандартов в системе менеджмента и развития инноваций</w:t>
      </w:r>
    </w:p>
    <w:p>
      <w:pPr>
        <w:spacing w:after="120"/>
        <w:ind w:firstLine="567"/>
        <w:jc w:val="both"/>
      </w:pPr>
      <w:r>
        <w:rPr>
          <w:rFonts w:ascii="Arial" w:cs="Arial" w:eastAsia="Arial" w:hAnsi="Arial"/>
          <w:sz w:val="24"/>
          <w:szCs w:val="24"/>
        </w:rPr>
        <w:t xml:space="preserve">Основным барьером для экспорта продуктов питания в Европейский союз является отсутствие эффективных практик обеспечения безопасности и качества продукции. Например, отсутствие внедрения системы НАССР, недостаточные знания и применение среди фермеров и производителей стандартов Global G.A.P., а также недостаточное внедрение систем менеджмента, таких как ISO 9001, ISO 22000, FSSC 22000, создают проблемы на уровне производства.</w:t>
      </w:r>
    </w:p>
    <w:p>
      <w:pPr>
        <w:spacing w:after="120"/>
        <w:ind w:firstLine="567"/>
        <w:jc w:val="both"/>
      </w:pPr>
      <w:r>
        <w:rPr>
          <w:rFonts w:ascii="Arial" w:cs="Arial" w:eastAsia="Arial" w:hAnsi="Arial"/>
          <w:sz w:val="24"/>
          <w:szCs w:val="24"/>
        </w:rPr>
        <w:t xml:space="preserve">Эти недостатки приводят к производству небезопасных сельскохозяйственных продуктов, а также значительным потерям в процессе обработки, транспортировки и хранения продукции. В результате конкурентоспособность продукции снижается на рынках сбыта.</w:t>
      </w:r>
    </w:p>
    <w:p>
      <w:pPr>
        <w:spacing w:after="120"/>
        <w:ind w:firstLine="567"/>
        <w:jc w:val="both"/>
      </w:pPr>
      <w:r>
        <w:rPr>
          <w:rFonts w:ascii="Arial" w:cs="Arial" w:eastAsia="Arial" w:hAnsi="Arial"/>
          <w:sz w:val="24"/>
          <w:szCs w:val="24"/>
        </w:rPr>
        <w:t xml:space="preserve">В связи с чем для решения указанной задачи предлагаются следующие основные меры:</w:t>
      </w:r>
    </w:p>
    <w:p>
      <w:pPr>
        <w:spacing w:after="120"/>
        <w:ind w:firstLine="567"/>
        <w:jc w:val="both"/>
      </w:pPr>
      <w:r>
        <w:rPr>
          <w:rFonts w:ascii="Arial" w:cs="Arial" w:eastAsia="Arial" w:hAnsi="Arial"/>
          <w:sz w:val="24"/>
          <w:szCs w:val="24"/>
        </w:rPr>
        <w:t xml:space="preserve">- повышение уровня знаний производителей, государственных органов в сфере ведения органического сельского хозяйства, халал-продукции и внедрения стандартов систем менеджмента ISO 9001, ISO 14001, ISO 22000, FSSC 22000;</w:t>
      </w:r>
    </w:p>
    <w:p>
      <w:pPr>
        <w:spacing w:after="120"/>
        <w:ind w:firstLine="567"/>
        <w:jc w:val="both"/>
      </w:pPr>
      <w:r>
        <w:rPr>
          <w:rFonts w:ascii="Arial" w:cs="Arial" w:eastAsia="Arial" w:hAnsi="Arial"/>
          <w:sz w:val="24"/>
          <w:szCs w:val="24"/>
        </w:rPr>
        <w:t xml:space="preserve">- разработка Национального интерпретационного документа по системам комплексных поставок сельскохозяйственной продукции V5.2 (фрукты и овощи) согласно Global G.A.P.</w:t>
      </w:r>
    </w:p>
    <w:p>
      <w:pPr>
        <w:spacing w:after="240" w:before="200"/>
        <w:jc w:val="center"/>
      </w:pPr>
      <w:r>
        <w:rPr>
          <w:rFonts w:ascii="Arial" w:cs="Arial" w:eastAsia="Arial" w:hAnsi="Arial"/>
          <w:b/>
          <w:bCs/>
          <w:sz w:val="32"/>
          <w:szCs w:val="32"/>
        </w:rPr>
        <w:t xml:space="preserve">§ 5.12. Достижение достаточной технической компетентности лабораторной инфраструктуры и расширение спектра предоставляемых услуг</w:t>
      </w:r>
    </w:p>
    <w:p>
      <w:pPr>
        <w:spacing w:after="120"/>
        <w:ind w:firstLine="567"/>
        <w:jc w:val="both"/>
      </w:pPr>
      <w:r>
        <w:rPr>
          <w:rFonts w:ascii="Arial" w:cs="Arial" w:eastAsia="Arial" w:hAnsi="Arial"/>
          <w:sz w:val="24"/>
          <w:szCs w:val="24"/>
        </w:rPr>
        <w:t xml:space="preserve">Достижение достаточной технической компетентности назначенных испытательных лабораторий (центров), обеспечивающих проведение испытаний и/или исследований, позволит увеличить охват испытаний на соответствие требованиям санитарных и фитосанитарных мер и технического регламента ЕАЭС. При этом также планируется провести диагностику проблем и принятие комплексной задачи по достижению достаточной технической компетентности лабораторной инфраструктуры, включая:</w:t>
      </w:r>
    </w:p>
    <w:p>
      <w:pPr>
        <w:spacing w:after="120"/>
        <w:ind w:firstLine="567"/>
        <w:jc w:val="both"/>
      </w:pPr>
      <w:r>
        <w:rPr>
          <w:rFonts w:ascii="Arial" w:cs="Arial" w:eastAsia="Arial" w:hAnsi="Arial"/>
          <w:sz w:val="24"/>
          <w:szCs w:val="24"/>
        </w:rPr>
        <w:t xml:space="preserve">- разработку (на основе анализа потребностей испытательных лабораторий по всей пищевой цепи) дорожных карт по дооснащению лабораторий с указанием видов продукции, испытаний и/или исследований, которые планируется обеспечить в соответствии с требованиями и методами рынков ЕАЭС, зарубежных стран и указанием ответственных исполнителей;</w:t>
      </w:r>
    </w:p>
    <w:p>
      <w:pPr>
        <w:spacing w:after="120"/>
        <w:ind w:firstLine="567"/>
        <w:jc w:val="both"/>
      </w:pPr>
      <w:r>
        <w:rPr>
          <w:rFonts w:ascii="Arial" w:cs="Arial" w:eastAsia="Arial" w:hAnsi="Arial"/>
          <w:sz w:val="24"/>
          <w:szCs w:val="24"/>
        </w:rPr>
        <w:t xml:space="preserve">- рассмотрение источников выделения приоритетного бюджетного финансирования на оказание поддержки во внедрении международных методик, необходимых для признания протоколов испытаний за рубежом, в том числе на подготовку/обучение специалистов лабораторий, приобретение реактивов и референс-материалов, систематическое участие в программах проверки квалификации, отвечающей требованиям ISO/IEC 17043:2013 и метрологической прослеживаемости и т.д.</w:t>
      </w:r>
    </w:p>
    <w:p>
      <w:pPr>
        <w:spacing w:after="240" w:before="200"/>
        <w:jc w:val="center"/>
      </w:pPr>
      <w:r>
        <w:rPr>
          <w:rFonts w:ascii="Arial" w:cs="Arial" w:eastAsia="Arial" w:hAnsi="Arial"/>
          <w:b/>
          <w:bCs/>
          <w:sz w:val="32"/>
          <w:szCs w:val="32"/>
        </w:rPr>
        <w:t xml:space="preserve">§ 5.13. Усиление потенциала органа по сертификации калибровочных лабораторий</w:t>
      </w:r>
    </w:p>
    <w:p>
      <w:pPr>
        <w:spacing w:after="120"/>
        <w:ind w:firstLine="567"/>
        <w:jc w:val="both"/>
      </w:pPr>
      <w:r>
        <w:rPr>
          <w:rFonts w:ascii="Arial" w:cs="Arial" w:eastAsia="Arial" w:hAnsi="Arial"/>
          <w:sz w:val="24"/>
          <w:szCs w:val="24"/>
        </w:rPr>
        <w:t xml:space="preserve">В рамках данной задачи предлагаются следующие меры:</w:t>
      </w:r>
    </w:p>
    <w:p>
      <w:pPr>
        <w:spacing w:after="120"/>
        <w:ind w:firstLine="567"/>
        <w:jc w:val="both"/>
      </w:pPr>
      <w:r>
        <w:rPr>
          <w:rFonts w:ascii="Arial" w:cs="Arial" w:eastAsia="Arial" w:hAnsi="Arial"/>
          <w:sz w:val="24"/>
          <w:szCs w:val="24"/>
        </w:rPr>
        <w:t xml:space="preserve">- создание государственных (территориальные подразделения ЦСМ) калибровочных лабораторий 2-го уровня по калибровке средств измерений;</w:t>
      </w:r>
    </w:p>
    <w:p>
      <w:pPr>
        <w:spacing w:after="120"/>
        <w:ind w:firstLine="567"/>
        <w:jc w:val="both"/>
      </w:pPr>
      <w:r>
        <w:rPr>
          <w:rFonts w:ascii="Arial" w:cs="Arial" w:eastAsia="Arial" w:hAnsi="Arial"/>
          <w:sz w:val="24"/>
          <w:szCs w:val="24"/>
        </w:rPr>
        <w:t xml:space="preserve">- создание органа по сертификации системы менеджмента пищевой безопасности, подтверждение аккредитации эталонных лабораторий ЦСМ, аккредитация территориальных подразделений ЦСМ.</w:t>
      </w:r>
    </w:p>
    <w:p>
      <w:pPr>
        <w:spacing w:after="120"/>
        <w:ind w:firstLine="567"/>
        <w:jc w:val="both"/>
      </w:pPr>
      <w:r>
        <w:rPr>
          <w:rFonts w:ascii="Arial" w:cs="Arial" w:eastAsia="Arial" w:hAnsi="Arial"/>
          <w:sz w:val="24"/>
          <w:szCs w:val="24"/>
        </w:rPr>
        <w:t xml:space="preserve">Необходимо отметить, что создание органов по сертификации системы менеджмента безопасности пищевой безопасности и органического сельскохозяйственного производства расширит услуги бизнесу по сертификации системы менеджмента качества на территории Кыргызской Республики, позволит уменьшить издержки не менее чем в 2-3 раза. Вместе с этим создание государственных калибровочных лабораторий 2-го уровня в регионах (Ошской и Иссык-Кульской областях) позволит усилить механизмы признания и доверия к метрологическим работам для продвижения продукции на экспортные рынки, повысить точность измерений, увеличить спектр оказываемых услуг пользователям, тем самым увеличить выдачу калибровочных сертификатов на 15-20%.</w:t>
      </w:r>
    </w:p>
    <w:p>
      <w:pPr>
        <w:spacing w:after="240" w:before="200"/>
        <w:jc w:val="center"/>
      </w:pPr>
      <w:r>
        <w:rPr>
          <w:rFonts w:ascii="Arial" w:cs="Arial" w:eastAsia="Arial" w:hAnsi="Arial"/>
          <w:b/>
          <w:bCs/>
          <w:sz w:val="32"/>
          <w:szCs w:val="32"/>
        </w:rPr>
        <w:t xml:space="preserve">§ 5.14. Цифровизация данных об обязательных требованиях к продукции и формам оценки соответствия</w:t>
      </w:r>
    </w:p>
    <w:p>
      <w:pPr>
        <w:spacing w:after="120"/>
        <w:ind w:firstLine="567"/>
        <w:jc w:val="both"/>
      </w:pPr>
      <w:r>
        <w:rPr>
          <w:rFonts w:ascii="Arial" w:cs="Arial" w:eastAsia="Arial" w:hAnsi="Arial"/>
          <w:sz w:val="24"/>
          <w:szCs w:val="24"/>
        </w:rPr>
        <w:t xml:space="preserve">В рамках данной задачи планируются мероприятия по:</w:t>
      </w:r>
    </w:p>
    <w:p>
      <w:pPr>
        <w:spacing w:after="120"/>
        <w:ind w:firstLine="567"/>
        <w:jc w:val="both"/>
      </w:pPr>
      <w:r>
        <w:rPr>
          <w:rFonts w:ascii="Arial" w:cs="Arial" w:eastAsia="Arial" w:hAnsi="Arial"/>
          <w:sz w:val="24"/>
          <w:szCs w:val="24"/>
        </w:rPr>
        <w:t xml:space="preserve">- созданию системы сервисов информационных коммуникаций в части прослеживаемости продукции и национальной информационной системы информирования о выявлении опасной (несоответствующей) продукции в рамках ЕАЭС и др.;</w:t>
      </w:r>
    </w:p>
    <w:p>
      <w:pPr>
        <w:spacing w:after="120"/>
        <w:ind w:firstLine="567"/>
        <w:jc w:val="both"/>
      </w:pPr>
      <w:r>
        <w:rPr>
          <w:rFonts w:ascii="Arial" w:cs="Arial" w:eastAsia="Arial" w:hAnsi="Arial"/>
          <w:sz w:val="24"/>
          <w:szCs w:val="24"/>
        </w:rPr>
        <w:t xml:space="preserve">- переходу к электронным формам документов об оценке соответствия;</w:t>
      </w:r>
    </w:p>
    <w:p>
      <w:pPr>
        <w:spacing w:after="120"/>
        <w:ind w:firstLine="567"/>
        <w:jc w:val="both"/>
      </w:pPr>
      <w:r>
        <w:rPr>
          <w:rFonts w:ascii="Arial" w:cs="Arial" w:eastAsia="Arial" w:hAnsi="Arial"/>
          <w:sz w:val="24"/>
          <w:szCs w:val="24"/>
        </w:rPr>
        <w:t xml:space="preserve">- интеграции национальных информационных систем прослеживаемости продукции животного и растительного происхождения посредством интегрированной информационной системы ЕАЭС.</w:t>
      </w:r>
    </w:p>
    <w:p>
      <w:pPr>
        <w:spacing w:after="120"/>
        <w:ind w:firstLine="567"/>
        <w:jc w:val="both"/>
      </w:pPr>
      <w:r>
        <w:rPr>
          <w:rFonts w:ascii="Arial" w:cs="Arial" w:eastAsia="Arial" w:hAnsi="Arial"/>
          <w:sz w:val="24"/>
          <w:szCs w:val="24"/>
        </w:rPr>
        <w:t xml:space="preserve">Цифровизация данных об обязательных требованиях к продукции и форм оценки соответствия позволит не менее чем в 2 раза снизить финансовые и временные затраты участников рынка при выдаче документов в электронном виде.</w:t>
      </w:r>
    </w:p>
    <w:p>
      <w:pPr>
        <w:spacing w:after="240" w:before="200"/>
        <w:jc w:val="center"/>
      </w:pPr>
      <w:r>
        <w:rPr>
          <w:rFonts w:ascii="Arial" w:cs="Arial" w:eastAsia="Arial" w:hAnsi="Arial"/>
          <w:b/>
          <w:bCs/>
          <w:sz w:val="32"/>
          <w:szCs w:val="32"/>
        </w:rPr>
        <w:t xml:space="preserve">Глава 6. Ожидаемые результаты</w:t>
      </w:r>
    </w:p>
    <w:p>
      <w:pPr>
        <w:spacing w:after="120"/>
        <w:ind w:firstLine="567"/>
        <w:jc w:val="both"/>
      </w:pPr>
      <w:r>
        <w:rPr>
          <w:rFonts w:ascii="Arial" w:cs="Arial" w:eastAsia="Arial" w:hAnsi="Arial"/>
          <w:sz w:val="24"/>
          <w:szCs w:val="24"/>
        </w:rPr>
        <w:t xml:space="preserve">Реализация настоящей Программы позволит достичь следующие основные результаты:</w:t>
      </w:r>
    </w:p>
    <w:p>
      <w:pPr>
        <w:spacing w:after="120"/>
        <w:ind w:firstLine="567"/>
        <w:jc w:val="both"/>
      </w:pPr>
      <w:r>
        <w:rPr>
          <w:rFonts w:ascii="Arial" w:cs="Arial" w:eastAsia="Arial" w:hAnsi="Arial"/>
          <w:sz w:val="24"/>
          <w:szCs w:val="24"/>
        </w:rPr>
        <w:t xml:space="preserve">- популяризация отечественной экспортной продукции под брендом "Сделано в Кыргызстане";</w:t>
      </w:r>
    </w:p>
    <w:p>
      <w:pPr>
        <w:spacing w:after="120"/>
        <w:ind w:firstLine="567"/>
        <w:jc w:val="both"/>
      </w:pPr>
      <w:r>
        <w:rPr>
          <w:rFonts w:ascii="Arial" w:cs="Arial" w:eastAsia="Arial" w:hAnsi="Arial"/>
          <w:sz w:val="24"/>
          <w:szCs w:val="24"/>
        </w:rPr>
        <w:t xml:space="preserve">- реализация маркетинговых мероприятий в рамках Концепции по международному продвижению имиджа продукции "Сделано в Кыргызстане";</w:t>
      </w:r>
    </w:p>
    <w:p>
      <w:pPr>
        <w:spacing w:after="120"/>
        <w:ind w:firstLine="567"/>
        <w:jc w:val="both"/>
      </w:pPr>
      <w:r>
        <w:rPr>
          <w:rFonts w:ascii="Arial" w:cs="Arial" w:eastAsia="Arial" w:hAnsi="Arial"/>
          <w:sz w:val="24"/>
          <w:szCs w:val="24"/>
        </w:rPr>
        <w:t xml:space="preserve">- активизация финансовых инструментов для обеспечения финансами экспортеров;</w:t>
      </w:r>
    </w:p>
    <w:p>
      <w:pPr>
        <w:spacing w:after="120"/>
        <w:ind w:firstLine="567"/>
        <w:jc w:val="both"/>
      </w:pPr>
      <w:r>
        <w:rPr>
          <w:rFonts w:ascii="Arial" w:cs="Arial" w:eastAsia="Arial" w:hAnsi="Arial"/>
          <w:sz w:val="24"/>
          <w:szCs w:val="24"/>
        </w:rPr>
        <w:t xml:space="preserve">- повышение уровня удовлетворенности экспортеров качеством государственных услуг, а также осведомленности экспортеров о процедурах и правилах осуществления экспортных операций;</w:t>
      </w:r>
    </w:p>
    <w:p>
      <w:pPr>
        <w:spacing w:after="120"/>
        <w:ind w:firstLine="567"/>
        <w:jc w:val="both"/>
      </w:pPr>
      <w:r>
        <w:rPr>
          <w:rFonts w:ascii="Arial" w:cs="Arial" w:eastAsia="Arial" w:hAnsi="Arial"/>
          <w:sz w:val="24"/>
          <w:szCs w:val="24"/>
        </w:rPr>
        <w:t xml:space="preserve">- обеспечение перехода к международным/региональным стандартам на продукцию и методам испытаний, увеличение гармонизации национальных стандартов;</w:t>
      </w:r>
    </w:p>
    <w:p>
      <w:pPr>
        <w:spacing w:after="120"/>
        <w:ind w:firstLine="567"/>
        <w:jc w:val="both"/>
      </w:pPr>
      <w:r>
        <w:rPr>
          <w:rFonts w:ascii="Arial" w:cs="Arial" w:eastAsia="Arial" w:hAnsi="Arial"/>
          <w:sz w:val="24"/>
          <w:szCs w:val="24"/>
        </w:rPr>
        <w:t xml:space="preserve">- увеличение доли предприятий, внедривших международные стандарты систем менеджмента и инновации.</w:t>
      </w:r>
    </w:p>
    <w:p>
      <w:pPr>
        <w:spacing w:after="240" w:before="200"/>
        <w:jc w:val="center"/>
      </w:pPr>
      <w:r>
        <w:rPr>
          <w:rFonts w:ascii="Arial" w:cs="Arial" w:eastAsia="Arial" w:hAnsi="Arial"/>
          <w:b/>
          <w:bCs/>
          <w:sz w:val="32"/>
          <w:szCs w:val="32"/>
        </w:rPr>
        <w:t xml:space="preserve">Глава 7. Благоприятные предпосылки</w:t>
      </w:r>
    </w:p>
    <w:p>
      <w:pPr>
        <w:spacing w:after="120"/>
        <w:ind w:firstLine="567"/>
        <w:jc w:val="both"/>
      </w:pPr>
      <w:r>
        <w:rPr>
          <w:rFonts w:ascii="Arial" w:cs="Arial" w:eastAsia="Arial" w:hAnsi="Arial"/>
          <w:sz w:val="24"/>
          <w:szCs w:val="24"/>
        </w:rPr>
        <w:t xml:space="preserve">Важнейшими предпосылками успешной реализации настоящей Программы станут:</w:t>
      </w:r>
    </w:p>
    <w:p>
      <w:pPr>
        <w:spacing w:after="120"/>
        <w:ind w:firstLine="567"/>
        <w:jc w:val="both"/>
      </w:pPr>
      <w:r>
        <w:rPr>
          <w:rFonts w:ascii="Arial" w:cs="Arial" w:eastAsia="Arial" w:hAnsi="Arial"/>
          <w:sz w:val="24"/>
          <w:szCs w:val="24"/>
        </w:rPr>
        <w:t xml:space="preserve">- координация задач Программы с целями Национальной стратегии развития Кыргызской Республики на 2018-2040 годы;</w:t>
      </w:r>
    </w:p>
    <w:p>
      <w:pPr>
        <w:spacing w:after="120"/>
        <w:ind w:firstLine="567"/>
        <w:jc w:val="both"/>
      </w:pPr>
      <w:r>
        <w:rPr>
          <w:rFonts w:ascii="Arial" w:cs="Arial" w:eastAsia="Arial" w:hAnsi="Arial"/>
          <w:sz w:val="24"/>
          <w:szCs w:val="24"/>
        </w:rPr>
        <w:t xml:space="preserve">- понимание частным сектором необходимости развития производств, увеличения конкурентоспособности и выхода на экспорт;</w:t>
      </w:r>
    </w:p>
    <w:p>
      <w:pPr>
        <w:spacing w:after="120"/>
        <w:ind w:firstLine="567"/>
        <w:jc w:val="both"/>
      </w:pPr>
      <w:r>
        <w:rPr>
          <w:rFonts w:ascii="Arial" w:cs="Arial" w:eastAsia="Arial" w:hAnsi="Arial"/>
          <w:sz w:val="24"/>
          <w:szCs w:val="24"/>
        </w:rPr>
        <w:t xml:space="preserve">- наличие квалифицированного персонала НИК;</w:t>
      </w:r>
    </w:p>
    <w:p>
      <w:pPr>
        <w:spacing w:after="120"/>
        <w:ind w:firstLine="567"/>
        <w:jc w:val="both"/>
      </w:pPr>
      <w:r>
        <w:rPr>
          <w:rFonts w:ascii="Arial" w:cs="Arial" w:eastAsia="Arial" w:hAnsi="Arial"/>
          <w:sz w:val="24"/>
          <w:szCs w:val="24"/>
        </w:rPr>
        <w:t xml:space="preserve">- наличие предприятий, желающих поставлять продукцию на экспортные рынки и внедривших системы менеджмента по международным стандартам, что повышает конкурентоспособность продукции и др.</w:t>
      </w:r>
    </w:p>
    <w:p>
      <w:pPr>
        <w:spacing w:after="240" w:before="200"/>
        <w:jc w:val="center"/>
      </w:pPr>
      <w:r>
        <w:rPr>
          <w:rFonts w:ascii="Arial" w:cs="Arial" w:eastAsia="Arial" w:hAnsi="Arial"/>
          <w:b/>
          <w:bCs/>
          <w:sz w:val="32"/>
          <w:szCs w:val="32"/>
        </w:rPr>
        <w:t xml:space="preserve">Глава 8. Оценка финансового обеспечения</w:t>
      </w:r>
    </w:p>
    <w:p>
      <w:pPr>
        <w:spacing w:after="120"/>
        <w:ind w:firstLine="567"/>
        <w:jc w:val="both"/>
      </w:pPr>
      <w:r>
        <w:rPr>
          <w:rFonts w:ascii="Arial" w:cs="Arial" w:eastAsia="Arial" w:hAnsi="Arial"/>
          <w:sz w:val="24"/>
          <w:szCs w:val="24"/>
        </w:rPr>
        <w:t xml:space="preserve">Финансирование мероприятий настоящей Программы будет осуществляться за счет:</w:t>
      </w:r>
    </w:p>
    <w:p>
      <w:pPr>
        <w:spacing w:after="120"/>
        <w:ind w:firstLine="567"/>
        <w:jc w:val="both"/>
      </w:pPr>
      <w:r>
        <w:rPr>
          <w:rFonts w:ascii="Arial" w:cs="Arial" w:eastAsia="Arial" w:hAnsi="Arial"/>
          <w:sz w:val="24"/>
          <w:szCs w:val="24"/>
        </w:rPr>
        <w:t xml:space="preserve">- средств республиканского и местных бюджетов;</w:t>
      </w:r>
    </w:p>
    <w:p>
      <w:pPr>
        <w:spacing w:after="120"/>
        <w:ind w:firstLine="567"/>
        <w:jc w:val="both"/>
      </w:pPr>
      <w:r>
        <w:rPr>
          <w:rFonts w:ascii="Arial" w:cs="Arial" w:eastAsia="Arial" w:hAnsi="Arial"/>
          <w:sz w:val="24"/>
          <w:szCs w:val="24"/>
        </w:rPr>
        <w:t xml:space="preserve">- средств банковской системы и частного сектора;</w:t>
      </w:r>
    </w:p>
    <w:p>
      <w:pPr>
        <w:spacing w:after="120"/>
        <w:ind w:firstLine="567"/>
        <w:jc w:val="both"/>
      </w:pPr>
      <w:r>
        <w:rPr>
          <w:rFonts w:ascii="Arial" w:cs="Arial" w:eastAsia="Arial" w:hAnsi="Arial"/>
          <w:sz w:val="24"/>
          <w:szCs w:val="24"/>
        </w:rPr>
        <w:t xml:space="preserve">- средств фондов развития;</w:t>
      </w:r>
    </w:p>
    <w:p>
      <w:pPr>
        <w:spacing w:after="120"/>
        <w:ind w:firstLine="567"/>
        <w:jc w:val="both"/>
      </w:pPr>
      <w:r>
        <w:rPr>
          <w:rFonts w:ascii="Arial" w:cs="Arial" w:eastAsia="Arial" w:hAnsi="Arial"/>
          <w:sz w:val="24"/>
          <w:szCs w:val="24"/>
        </w:rPr>
        <w:t xml:space="preserve">- средств донорских и международных организаций;</w:t>
      </w:r>
    </w:p>
    <w:p>
      <w:pPr>
        <w:spacing w:after="120"/>
        <w:ind w:firstLine="567"/>
        <w:jc w:val="both"/>
      </w:pPr>
      <w:r>
        <w:rPr>
          <w:rFonts w:ascii="Arial" w:cs="Arial" w:eastAsia="Arial" w:hAnsi="Arial"/>
          <w:sz w:val="24"/>
          <w:szCs w:val="24"/>
        </w:rPr>
        <w:t xml:space="preserve">- иных средств, не противоречащих законодательству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m0q6hp1yixl7flxdc58">
      <w:r>
        <w:rPr>
          <w:rFonts w:ascii="Arial" w:cs="Arial" w:eastAsia="Arial" w:hAnsi="Arial"/>
          <w:color w:val="132D3F"/>
          <w:sz w:val="16"/>
          <w:szCs w:val="16"/>
          <w:u w:val="single"/>
        </w:rPr>
        <w:t xml:space="preserve">dalil.kg/document/230020708</w:t>
      </w:r>
    </w:hyperlink>
  </w:p>
  <w:p>
    <w:pPr>
      <w:spacing w:after="0" w:before="40"/>
      <w:jc w:val="center"/>
    </w:pPr>
    <w:hyperlink w:history="1" r:id="rIdtj2vwj05xznthk0jjnw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ruio7kvjdumzlagqsc" Type="http://schemas.openxmlformats.org/officeDocument/2006/relationships/hyperlink" Target="https://dalil.kg/document/2300206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m0q6hp1yixl7flxdc58" Type="http://schemas.openxmlformats.org/officeDocument/2006/relationships/hyperlink" Target="https://dalil.kg/document/230020708" TargetMode="External"/><Relationship Id="rIdtj2vwj05xznthk0jjnw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2026-09-24T15:53:33.668Z</dcterms:created>
  <dcterms:modified xsi:type="dcterms:W3CDTF">2026-09-24T15:53:33.668Z</dcterms:modified>
</cp:coreProperties>
</file>

<file path=docProps/custom.xml><?xml version="1.0" encoding="utf-8"?>
<Properties xmlns="http://schemas.openxmlformats.org/officeDocument/2006/custom-properties" xmlns:vt="http://schemas.openxmlformats.org/officeDocument/2006/docPropsVTypes"/>
</file>