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ДЕЙСТВИЕ ОТМЕНЕНО
 в соответствии с </w:t>
      </w:r>
      <w:hyperlink w:history="1" r:id="rIduvb-ttefnny_h-53gwy6k">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 </w:t>
      </w:r>
    </w:p>
    <w:p>
      <w:pPr>
        <w:spacing w:after="120"/>
        <w:jc w:val="center"/>
      </w:pPr>
      <w:r>
        <w:rPr>
          <w:rFonts w:ascii="Arial" w:cs="Arial" w:eastAsia="Arial" w:hAnsi="Arial"/>
          <w:i/>
          <w:iCs/>
          <w:sz w:val="24"/>
          <w:szCs w:val="24"/>
        </w:rPr>
        <w:t xml:space="preserve">от 25 января 2025 года № 31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31 декабря 2024 года № 823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постановления Кабинета Министров Кыргызской Республики в сфере оборота виртуальных активов</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повышения эффективности деятельности поставщиков услуг виртуальных активов, в соответствии со статьями </w:t>
      </w:r>
      <w:hyperlink w:history="1" r:id="rId-bvvuksroy-tw5wx5z0fc">
        <w:r>
          <w:rPr>
            <w:rFonts w:ascii="Arial" w:cs="Arial" w:eastAsia="Arial" w:hAnsi="Arial"/>
            <w:color w:val="1D4ED8"/>
            <w:sz w:val="24"/>
            <w:szCs w:val="24"/>
            <w:u w:val="single"/>
          </w:rPr>
          <w:t xml:space="preserve">10</w:t>
        </w:r>
      </w:hyperlink>
      <w:r>
        <w:rPr>
          <w:rFonts w:ascii="Arial" w:cs="Arial" w:eastAsia="Arial" w:hAnsi="Arial"/>
          <w:sz w:val="24"/>
          <w:szCs w:val="24"/>
        </w:rPr>
        <w:t xml:space="preserve">, </w:t>
      </w:r>
      <w:hyperlink w:history="1" r:id="rIdsodeu25ahkyy1nizlgtj-">
        <w:r>
          <w:rPr>
            <w:rFonts w:ascii="Arial" w:cs="Arial" w:eastAsia="Arial" w:hAnsi="Arial"/>
            <w:color w:val="1D4ED8"/>
            <w:sz w:val="24"/>
            <w:szCs w:val="24"/>
            <w:u w:val="single"/>
          </w:rPr>
          <w:t xml:space="preserve">16</w:t>
        </w:r>
      </w:hyperlink>
      <w:r>
        <w:rPr>
          <w:rFonts w:ascii="Arial" w:cs="Arial" w:eastAsia="Arial" w:hAnsi="Arial"/>
          <w:sz w:val="24"/>
          <w:szCs w:val="24"/>
        </w:rPr>
        <w:t xml:space="preserve">, </w:t>
      </w:r>
      <w:hyperlink w:history="1" r:id="rId1e-ptszxbr5zlyq19p8qu">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8pmdtqdsfltg4cqqsizny">
        <w:r>
          <w:rPr>
            <w:rFonts w:ascii="Arial" w:cs="Arial" w:eastAsia="Arial" w:hAnsi="Arial"/>
            <w:color w:val="1D4ED8"/>
            <w:sz w:val="24"/>
            <w:szCs w:val="24"/>
            <w:u w:val="single"/>
          </w:rPr>
          <w:t xml:space="preserve">25</w:t>
        </w:r>
      </w:hyperlink>
      <w:r>
        <w:rPr>
          <w:rFonts w:ascii="Arial" w:cs="Arial" w:eastAsia="Arial" w:hAnsi="Arial"/>
          <w:sz w:val="24"/>
          <w:szCs w:val="24"/>
        </w:rPr>
        <w:t xml:space="preserve">, </w:t>
      </w:r>
      <w:hyperlink w:history="1" r:id="rIdkfbtpm5g3s01luxu8f7kh">
        <w:r>
          <w:rPr>
            <w:rFonts w:ascii="Arial" w:cs="Arial" w:eastAsia="Arial" w:hAnsi="Arial"/>
            <w:color w:val="1D4ED8"/>
            <w:sz w:val="24"/>
            <w:szCs w:val="24"/>
            <w:u w:val="single"/>
          </w:rPr>
          <w:t xml:space="preserve">27</w:t>
        </w:r>
      </w:hyperlink>
      <w:r>
        <w:rPr>
          <w:rFonts w:ascii="Arial" w:cs="Arial" w:eastAsia="Arial" w:hAnsi="Arial"/>
          <w:sz w:val="24"/>
          <w:szCs w:val="24"/>
        </w:rPr>
        <w:t xml:space="preserve">, </w:t>
      </w:r>
      <w:hyperlink w:history="1" r:id="rIdnut25q6onpmqzf23l8g4k">
        <w:r>
          <w:rPr>
            <w:rFonts w:ascii="Arial" w:cs="Arial" w:eastAsia="Arial" w:hAnsi="Arial"/>
            <w:color w:val="1D4ED8"/>
            <w:sz w:val="24"/>
            <w:szCs w:val="24"/>
            <w:u w:val="single"/>
          </w:rPr>
          <w:t xml:space="preserve">28 </w:t>
        </w:r>
      </w:hyperlink>
      <w:r>
        <w:rPr>
          <w:rFonts w:ascii="Arial" w:cs="Arial" w:eastAsia="Arial" w:hAnsi="Arial"/>
          <w:sz w:val="24"/>
          <w:szCs w:val="24"/>
        </w:rPr>
        <w:t xml:space="preserve">Закона Кыргызской Республики "О виртуальных активах", статьями </w:t>
      </w:r>
      <w:hyperlink w:history="1" r:id="rIdznscalb3svgwbv6cievy-">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3eztfq95kgc9zppzyhmaq">
        <w:r>
          <w:rPr>
            <w:rFonts w:ascii="Arial" w:cs="Arial" w:eastAsia="Arial" w:hAnsi="Arial"/>
            <w:color w:val="1D4ED8"/>
            <w:sz w:val="24"/>
            <w:szCs w:val="24"/>
            <w:u w:val="single"/>
          </w:rPr>
          <w:t xml:space="preserve">17 </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qpxme35dpkwtvx7wefuh2">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Кабинета Министров Кыргызской Республики "О вопросах подведомственных подразделений и организаций Министерства экономики и коммерции Кыргызской Республики" от 10 декабря 2021 года № 300 следующие изменения:</w:t>
      </w:r>
    </w:p>
    <w:p>
      <w:pPr>
        <w:spacing w:after="120"/>
        <w:ind w:firstLine="567"/>
        <w:jc w:val="both"/>
      </w:pPr>
      <w:r>
        <w:rPr>
          <w:rFonts w:ascii="Arial" w:cs="Arial" w:eastAsia="Arial" w:hAnsi="Arial"/>
          <w:sz w:val="24"/>
          <w:szCs w:val="24"/>
        </w:rPr>
        <w:t xml:space="preserve">в </w:t>
      </w:r>
      <w:hyperlink w:history="1" r:id="rIdinehbtwrbo6rclffplmip">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Службе регулирования и надзора за финансовым рынком при Министерстве экономики и коммерции Кыргызской Республики, утвержденном вышеуказанным </w:t>
      </w:r>
      <w:hyperlink w:history="1" r:id="rIdgdekzznub_bmegftffuw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абзац второй пункта 3 после слов "рынок ценных бумаг" дополнить словами ", рынок виртуальных активов";</w:t>
      </w:r>
    </w:p>
    <w:p>
      <w:pPr>
        <w:spacing w:after="120"/>
        <w:ind w:firstLine="567"/>
        <w:jc w:val="both"/>
      </w:pPr>
      <w:r>
        <w:rPr>
          <w:rFonts w:ascii="Arial" w:cs="Arial" w:eastAsia="Arial" w:hAnsi="Arial"/>
          <w:sz w:val="24"/>
          <w:szCs w:val="24"/>
        </w:rPr>
        <w:t xml:space="preserve">- пункт 14 дополнить подпунктом 50 следующего содержания:</w:t>
      </w:r>
    </w:p>
    <w:p>
      <w:pPr>
        <w:spacing w:after="120"/>
        <w:ind w:firstLine="567"/>
        <w:jc w:val="both"/>
      </w:pPr>
      <w:r>
        <w:rPr>
          <w:rFonts w:ascii="Arial" w:cs="Arial" w:eastAsia="Arial" w:hAnsi="Arial"/>
          <w:sz w:val="24"/>
          <w:szCs w:val="24"/>
        </w:rPr>
        <w:t xml:space="preserve">"50) осуществлять контрольный закуп виртуальных активов у поставщиков услуг виртуальных активов.";</w:t>
      </w:r>
    </w:p>
    <w:p>
      <w:pPr>
        <w:spacing w:after="120"/>
        <w:ind w:firstLine="567"/>
        <w:jc w:val="both"/>
      </w:pPr>
      <w:r>
        <w:rPr>
          <w:rFonts w:ascii="Arial" w:cs="Arial" w:eastAsia="Arial" w:hAnsi="Arial"/>
          <w:sz w:val="24"/>
          <w:szCs w:val="24"/>
        </w:rPr>
        <w:t xml:space="preserve">- пункт 20 дополнить абзацем четвертым следующего содержания:</w:t>
      </w:r>
    </w:p>
    <w:p>
      <w:pPr>
        <w:spacing w:after="120"/>
        <w:ind w:firstLine="567"/>
        <w:jc w:val="both"/>
      </w:pPr>
      <w:r>
        <w:rPr>
          <w:rFonts w:ascii="Arial" w:cs="Arial" w:eastAsia="Arial" w:hAnsi="Arial"/>
          <w:sz w:val="24"/>
          <w:szCs w:val="24"/>
        </w:rPr>
        <w:t xml:space="preserve">"- средств фонда, созданного в целях осуществления контрольных закупок виртуальных активов у поставщиков услуг виртуальных активов;".</w:t>
      </w:r>
    </w:p>
    <w:p>
      <w:pPr>
        <w:spacing w:after="120"/>
        <w:ind w:firstLine="567"/>
        <w:jc w:val="both"/>
      </w:pPr>
      <w:r>
        <w:rPr>
          <w:rFonts w:ascii="Arial" w:cs="Arial" w:eastAsia="Arial" w:hAnsi="Arial"/>
          <w:sz w:val="24"/>
          <w:szCs w:val="24"/>
        </w:rPr>
        <w:t xml:space="preserve">2. Внести в </w:t>
      </w:r>
      <w:hyperlink w:history="1" r:id="rIddm7ruwvog5kbpelht8jld">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Кабинета Министров Кыргызской Республики "О вопросах регулирования отношений, возникающих при обороте виртуальных активов" от 16 сентября 2022 года № 514 следующие изменения:</w:t>
      </w:r>
    </w:p>
    <w:p>
      <w:pPr>
        <w:spacing w:after="120"/>
        <w:ind w:firstLine="567"/>
        <w:jc w:val="both"/>
      </w:pPr>
      <w:r>
        <w:rPr>
          <w:rFonts w:ascii="Arial" w:cs="Arial" w:eastAsia="Arial" w:hAnsi="Arial"/>
          <w:sz w:val="24"/>
          <w:szCs w:val="24"/>
        </w:rPr>
        <w:t xml:space="preserve">1) дополнить пунктом 3-1 следующего содержания:</w:t>
      </w:r>
    </w:p>
    <w:p>
      <w:pPr>
        <w:spacing w:after="120"/>
        <w:ind w:firstLine="567"/>
        <w:jc w:val="both"/>
      </w:pPr>
      <w:r>
        <w:rPr>
          <w:rFonts w:ascii="Arial" w:cs="Arial" w:eastAsia="Arial" w:hAnsi="Arial"/>
          <w:sz w:val="24"/>
          <w:szCs w:val="24"/>
        </w:rPr>
        <w:t xml:space="preserve">"3-1. Действующим поставщикам услуг виртуальных активов привести размер уставного капитала в соответствие с требованиями нормативных правовых актов в срок до 1 января 2026 года.";</w:t>
      </w:r>
    </w:p>
    <w:p>
      <w:pPr>
        <w:spacing w:after="120"/>
        <w:ind w:firstLine="567"/>
        <w:jc w:val="both"/>
      </w:pPr>
      <w:r>
        <w:rPr>
          <w:rFonts w:ascii="Arial" w:cs="Arial" w:eastAsia="Arial" w:hAnsi="Arial"/>
          <w:sz w:val="24"/>
          <w:szCs w:val="24"/>
        </w:rPr>
        <w:t xml:space="preserve">2) в </w:t>
      </w:r>
      <w:r>
        <w:rPr>
          <w:rFonts w:ascii="Arial" w:cs="Arial" w:eastAsia="Arial" w:hAnsi="Arial"/>
          <w:sz w:val="24"/>
          <w:szCs w:val="24"/>
        </w:rPr>
        <w:t xml:space="preserve">Положении </w:t>
      </w:r>
      <w:r>
        <w:rPr>
          <w:rFonts w:ascii="Arial" w:cs="Arial" w:eastAsia="Arial" w:hAnsi="Arial"/>
          <w:sz w:val="24"/>
          <w:szCs w:val="24"/>
        </w:rPr>
        <w:t xml:space="preserve">о деятельности оператора торгов виртуальных активов (криптобиржи) и ведении Реестра операторов торгов виртуальных активов (криптобирж), утвержденном вышеуказанным </w:t>
      </w:r>
      <w:hyperlink w:history="1" r:id="rIde_2_kegshdrgn3bnqxt7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 пункте 2:</w:t>
      </w:r>
    </w:p>
    <w:p>
      <w:pPr>
        <w:spacing w:after="120"/>
        <w:ind w:firstLine="567"/>
        <w:jc w:val="both"/>
      </w:pPr>
      <w:r>
        <w:rPr>
          <w:rFonts w:ascii="Arial" w:cs="Arial" w:eastAsia="Arial" w:hAnsi="Arial"/>
          <w:sz w:val="24"/>
          <w:szCs w:val="24"/>
        </w:rPr>
        <w:t xml:space="preserve">абзац третий признать утратившим силу;</w:t>
      </w:r>
    </w:p>
    <w:p>
      <w:pPr>
        <w:spacing w:after="120"/>
        <w:ind w:firstLine="567"/>
        <w:jc w:val="both"/>
      </w:pPr>
      <w:r>
        <w:rPr>
          <w:rFonts w:ascii="Arial" w:cs="Arial" w:eastAsia="Arial" w:hAnsi="Arial"/>
          <w:sz w:val="24"/>
          <w:szCs w:val="24"/>
        </w:rPr>
        <w:t xml:space="preserve">абзац четвертый изложить в следующей редакции:</w:t>
      </w:r>
    </w:p>
    <w:p>
      <w:pPr>
        <w:spacing w:after="120"/>
        <w:ind w:firstLine="567"/>
        <w:jc w:val="both"/>
      </w:pPr>
      <w:r>
        <w:rPr>
          <w:rFonts w:ascii="Arial" w:cs="Arial" w:eastAsia="Arial" w:hAnsi="Arial"/>
          <w:sz w:val="24"/>
          <w:szCs w:val="24"/>
        </w:rPr>
        <w:t xml:space="preserve">"клиенты - контрагенты оператора торгов виртуальных активов (криптобиржи), физические и юридические лица, в том числе иностранные физические/юридические лица, осуществляющие сделки (операции) на специализированной платформе оператора торгов виртуальных активов (криптобиржи) от своего имени, собственными средствами и в своих интересах;";</w:t>
      </w:r>
    </w:p>
    <w:p>
      <w:pPr>
        <w:spacing w:after="120"/>
        <w:ind w:firstLine="567"/>
        <w:jc w:val="both"/>
      </w:pPr>
      <w:r>
        <w:rPr>
          <w:rFonts w:ascii="Arial" w:cs="Arial" w:eastAsia="Arial" w:hAnsi="Arial"/>
          <w:sz w:val="24"/>
          <w:szCs w:val="24"/>
        </w:rPr>
        <w:t xml:space="preserve">дополнить абзацем двадцать третьим следующего содержания:</w:t>
      </w:r>
    </w:p>
    <w:p>
      <w:pPr>
        <w:spacing w:after="120"/>
        <w:ind w:firstLine="567"/>
        <w:jc w:val="both"/>
      </w:pPr>
      <w:r>
        <w:rPr>
          <w:rFonts w:ascii="Arial" w:cs="Arial" w:eastAsia="Arial" w:hAnsi="Arial"/>
          <w:sz w:val="24"/>
          <w:szCs w:val="24"/>
        </w:rPr>
        <w:t xml:space="preserve">"крипто-банкомат - автоматизированная система обмена фиатных средств и виртуальных активов;";</w:t>
      </w:r>
    </w:p>
    <w:p>
      <w:pPr>
        <w:spacing w:after="120"/>
        <w:ind w:firstLine="567"/>
        <w:jc w:val="both"/>
      </w:pPr>
      <w:r>
        <w:rPr>
          <w:rFonts w:ascii="Arial" w:cs="Arial" w:eastAsia="Arial" w:hAnsi="Arial"/>
          <w:sz w:val="24"/>
          <w:szCs w:val="24"/>
        </w:rPr>
        <w:t xml:space="preserve">- пункт 5 изложить в следующей редакции:</w:t>
      </w:r>
    </w:p>
    <w:p>
      <w:pPr>
        <w:spacing w:after="120"/>
        <w:ind w:firstLine="567"/>
        <w:jc w:val="both"/>
      </w:pPr>
      <w:r>
        <w:rPr>
          <w:rFonts w:ascii="Arial" w:cs="Arial" w:eastAsia="Arial" w:hAnsi="Arial"/>
          <w:sz w:val="24"/>
          <w:szCs w:val="24"/>
        </w:rPr>
        <w:t xml:space="preserve">"5. В случае если оператор торгов виртуальных активов (криптобиржа) хранит активы пользователей на своих балансах, он обязан обеспечить раздельный учет финансовых активов оператора торгов виртуальных активов (криптобиржи), электронных виртуальных активов, денежных средств, находящихся у оператора торгов виртуальных активов (криптобиржи).";</w:t>
      </w:r>
    </w:p>
    <w:p>
      <w:pPr>
        <w:spacing w:after="120"/>
        <w:ind w:firstLine="567"/>
        <w:jc w:val="both"/>
      </w:pPr>
      <w:r>
        <w:rPr>
          <w:rFonts w:ascii="Arial" w:cs="Arial" w:eastAsia="Arial" w:hAnsi="Arial"/>
          <w:sz w:val="24"/>
          <w:szCs w:val="24"/>
        </w:rPr>
        <w:t xml:space="preserve">- абзац третий пункта 11 на государственном языке признать утратившим силу;</w:t>
      </w:r>
    </w:p>
    <w:p>
      <w:pPr>
        <w:spacing w:after="120"/>
        <w:ind w:firstLine="567"/>
        <w:jc w:val="both"/>
      </w:pPr>
      <w:r>
        <w:rPr>
          <w:rFonts w:ascii="Arial" w:cs="Arial" w:eastAsia="Arial" w:hAnsi="Arial"/>
          <w:sz w:val="24"/>
          <w:szCs w:val="24"/>
        </w:rPr>
        <w:t xml:space="preserve">- пункт 18 изложить в следующей редакции:</w:t>
      </w:r>
    </w:p>
    <w:p>
      <w:pPr>
        <w:spacing w:after="120"/>
        <w:ind w:firstLine="567"/>
        <w:jc w:val="both"/>
      </w:pPr>
      <w:r>
        <w:rPr>
          <w:rFonts w:ascii="Arial" w:cs="Arial" w:eastAsia="Arial" w:hAnsi="Arial"/>
          <w:sz w:val="24"/>
          <w:szCs w:val="24"/>
        </w:rPr>
        <w:t xml:space="preserve">"18. Централизованный оператор торгов виртуальных активов (криптобиржа) обязан проводить процедуру надлежащей проверки клиента, установленную внутренними правилами оператора торгов виртуальных активов,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 и в сфере оборота виртуальных активов.</w:t>
      </w:r>
    </w:p>
    <w:p>
      <w:pPr>
        <w:spacing w:after="120"/>
        <w:ind w:firstLine="567"/>
        <w:jc w:val="both"/>
      </w:pPr>
      <w:r>
        <w:rPr>
          <w:rFonts w:ascii="Arial" w:cs="Arial" w:eastAsia="Arial" w:hAnsi="Arial"/>
          <w:sz w:val="24"/>
          <w:szCs w:val="24"/>
        </w:rPr>
        <w:t xml:space="preserve">Все проверки транзакций юридических и физических лиц по виртуальным активам в рамках соблюдения мер по противодействию финансированию террористической деятельности и легализации (отмыванию) преступных доходов (AML) в обязательном порядке должны проходить через информационную систему (программное обеспечение), определенную уполномоченным органом.";</w:t>
      </w:r>
    </w:p>
    <w:p>
      <w:pPr>
        <w:spacing w:after="120"/>
        <w:ind w:firstLine="567"/>
        <w:jc w:val="both"/>
      </w:pPr>
      <w:r>
        <w:rPr>
          <w:rFonts w:ascii="Arial" w:cs="Arial" w:eastAsia="Arial" w:hAnsi="Arial"/>
          <w:sz w:val="24"/>
          <w:szCs w:val="24"/>
        </w:rPr>
        <w:t xml:space="preserve">- дополнить пунктом 18-1 следующего содержания:</w:t>
      </w:r>
    </w:p>
    <w:p>
      <w:pPr>
        <w:spacing w:after="120"/>
        <w:ind w:firstLine="567"/>
        <w:jc w:val="both"/>
      </w:pPr>
      <w:r>
        <w:rPr>
          <w:rFonts w:ascii="Arial" w:cs="Arial" w:eastAsia="Arial" w:hAnsi="Arial"/>
          <w:sz w:val="24"/>
          <w:szCs w:val="24"/>
        </w:rPr>
        <w:t xml:space="preserve">"18-1. До совершения с гражданами Кыргызской Республики сделок по продаже им виртуальных активов за денежные средства или электронные деньги, либо по обмену виртуальных активов одного вида на виртуальные активы другого вида, оператор торгов виртуальных активов (криптобиржа) обязан убедиться в том, что они обладают достаточным уровнем знаний (компетентности) для совершения таких сделок. Оператор торгов виртуальных активов (криптобиржа) не вправе совершать названные сделки с теми гражданами Кыргызской Республики, в отношении которых он установил, что они таким уровнем знаний (компетентности) не обладают.</w:t>
      </w:r>
    </w:p>
    <w:p>
      <w:pPr>
        <w:spacing w:after="120"/>
        <w:ind w:firstLine="567"/>
        <w:jc w:val="both"/>
      </w:pPr>
      <w:r>
        <w:rPr>
          <w:rFonts w:ascii="Arial" w:cs="Arial" w:eastAsia="Arial" w:hAnsi="Arial"/>
          <w:sz w:val="24"/>
          <w:szCs w:val="24"/>
        </w:rPr>
        <w:t xml:space="preserve">Определение уровня знаний (компетентности) для совершения сделок, указанных в настоящем пункте, производится оператором торгов виртуальных активов (криптобиржей) посредством представления гражданам Кыргызской Республики вопросника (теста) для заполнения (решения).</w:t>
      </w:r>
    </w:p>
    <w:p>
      <w:pPr>
        <w:spacing w:after="120"/>
        <w:ind w:firstLine="567"/>
        <w:jc w:val="both"/>
      </w:pPr>
      <w:r>
        <w:rPr>
          <w:rFonts w:ascii="Arial" w:cs="Arial" w:eastAsia="Arial" w:hAnsi="Arial"/>
          <w:sz w:val="24"/>
          <w:szCs w:val="24"/>
        </w:rPr>
        <w:t xml:space="preserve">Вопросник (тест) и изменения/дополнения к нему подлежат согласованию с уполномоченным органом в порядке и сроки, установленные уполномоченным органом.</w:t>
      </w:r>
    </w:p>
    <w:p>
      <w:pPr>
        <w:spacing w:after="120"/>
        <w:ind w:firstLine="567"/>
        <w:jc w:val="both"/>
      </w:pPr>
      <w:r>
        <w:rPr>
          <w:rFonts w:ascii="Arial" w:cs="Arial" w:eastAsia="Arial" w:hAnsi="Arial"/>
          <w:sz w:val="24"/>
          <w:szCs w:val="24"/>
        </w:rPr>
        <w:t xml:space="preserve">Уполномоченный орган после получения соответствующего уведомления анализирует полученный вопросник (тест) и в случае наличия замечаний/предложений в течение 30 (тридцати) календарных дней со дня регистрации уведомления информирует оператора торгов виртуальных активов о необходимости проработки вопросника (теста).</w:t>
      </w:r>
    </w:p>
    <w:p>
      <w:pPr>
        <w:spacing w:after="120"/>
        <w:ind w:firstLine="567"/>
        <w:jc w:val="both"/>
      </w:pPr>
      <w:r>
        <w:rPr>
          <w:rFonts w:ascii="Arial" w:cs="Arial" w:eastAsia="Arial" w:hAnsi="Arial"/>
          <w:sz w:val="24"/>
          <w:szCs w:val="24"/>
        </w:rPr>
        <w:t xml:space="preserve">Оператор торгов виртуальных активов (криптобиржа) должен информировать клиента о рисках при осуществлении сделок с виртуальными активами.";</w:t>
      </w:r>
    </w:p>
    <w:p>
      <w:pPr>
        <w:spacing w:after="120"/>
        <w:ind w:firstLine="567"/>
        <w:jc w:val="both"/>
      </w:pPr>
      <w:r>
        <w:rPr>
          <w:rFonts w:ascii="Arial" w:cs="Arial" w:eastAsia="Arial" w:hAnsi="Arial"/>
          <w:sz w:val="24"/>
          <w:szCs w:val="24"/>
        </w:rPr>
        <w:t xml:space="preserve">- пункт 23 дополнить абзацами следующего содержания:</w:t>
      </w:r>
    </w:p>
    <w:p>
      <w:pPr>
        <w:spacing w:after="120"/>
        <w:ind w:firstLine="567"/>
        <w:jc w:val="both"/>
      </w:pPr>
      <w:r>
        <w:rPr>
          <w:rFonts w:ascii="Arial" w:cs="Arial" w:eastAsia="Arial" w:hAnsi="Arial"/>
          <w:sz w:val="24"/>
          <w:szCs w:val="24"/>
        </w:rPr>
        <w:t xml:space="preserve">"- вопросник (тест), определяющий уровень знаний (компетентности) клиентов.</w:t>
      </w:r>
    </w:p>
    <w:p>
      <w:pPr>
        <w:spacing w:after="120"/>
        <w:ind w:firstLine="567"/>
        <w:jc w:val="both"/>
      </w:pPr>
      <w:r>
        <w:rPr>
          <w:rFonts w:ascii="Arial" w:cs="Arial" w:eastAsia="Arial" w:hAnsi="Arial"/>
          <w:sz w:val="24"/>
          <w:szCs w:val="24"/>
        </w:rPr>
        <w:t xml:space="preserve">Правила биржевой торговли с виртуальными активами должны быть опубликованы на интернет-сайте оператора торгов виртуальными активами и доступны для ознакомления всеми участниками торгов.";</w:t>
      </w:r>
    </w:p>
    <w:p>
      <w:pPr>
        <w:spacing w:after="120"/>
        <w:ind w:firstLine="567"/>
        <w:jc w:val="both"/>
      </w:pPr>
      <w:r>
        <w:rPr>
          <w:rFonts w:ascii="Arial" w:cs="Arial" w:eastAsia="Arial" w:hAnsi="Arial"/>
          <w:sz w:val="24"/>
          <w:szCs w:val="24"/>
        </w:rPr>
        <w:t xml:space="preserve">- абзац первый пункта 30 после слов "Учредители/акционеры" дополнить словами ", бенефициарные владельцы";</w:t>
      </w:r>
    </w:p>
    <w:p>
      <w:pPr>
        <w:spacing w:after="120"/>
        <w:ind w:firstLine="567"/>
        <w:jc w:val="both"/>
      </w:pPr>
      <w:r>
        <w:rPr>
          <w:rFonts w:ascii="Arial" w:cs="Arial" w:eastAsia="Arial" w:hAnsi="Arial"/>
          <w:sz w:val="24"/>
          <w:szCs w:val="24"/>
        </w:rPr>
        <w:t xml:space="preserve">- дополнить пунктом 30-1 следующего содержания:</w:t>
      </w:r>
    </w:p>
    <w:p>
      <w:pPr>
        <w:spacing w:after="120"/>
        <w:ind w:firstLine="567"/>
        <w:jc w:val="both"/>
      </w:pPr>
      <w:r>
        <w:rPr>
          <w:rFonts w:ascii="Arial" w:cs="Arial" w:eastAsia="Arial" w:hAnsi="Arial"/>
          <w:sz w:val="24"/>
          <w:szCs w:val="24"/>
        </w:rPr>
        <w:t xml:space="preserve">"30-1. Должностные лица оператора торгов виртуальных активов подлежат обязательному согласованию с уполномоченным органом.</w:t>
      </w:r>
    </w:p>
    <w:p>
      <w:pPr>
        <w:spacing w:after="120"/>
        <w:ind w:firstLine="567"/>
        <w:jc w:val="both"/>
      </w:pPr>
      <w:r>
        <w:rPr>
          <w:rFonts w:ascii="Arial" w:cs="Arial" w:eastAsia="Arial" w:hAnsi="Arial"/>
          <w:sz w:val="24"/>
          <w:szCs w:val="24"/>
        </w:rPr>
        <w:t xml:space="preserve">Должностными лицами оператора торгов виртуальных активов, кандидатуры которых подлежат согласованию, являются:</w:t>
      </w:r>
    </w:p>
    <w:p>
      <w:pPr>
        <w:spacing w:after="120"/>
        <w:ind w:firstLine="567"/>
        <w:jc w:val="both"/>
      </w:pPr>
      <w:r>
        <w:rPr>
          <w:rFonts w:ascii="Arial" w:cs="Arial" w:eastAsia="Arial" w:hAnsi="Arial"/>
          <w:sz w:val="24"/>
          <w:szCs w:val="24"/>
        </w:rPr>
        <w:t xml:space="preserve">- руководитель и члены совета директоров (при наличии);</w:t>
      </w:r>
    </w:p>
    <w:p>
      <w:pPr>
        <w:spacing w:after="120"/>
        <w:ind w:firstLine="567"/>
        <w:jc w:val="both"/>
      </w:pPr>
      <w:r>
        <w:rPr>
          <w:rFonts w:ascii="Arial" w:cs="Arial" w:eastAsia="Arial" w:hAnsi="Arial"/>
          <w:sz w:val="24"/>
          <w:szCs w:val="24"/>
        </w:rPr>
        <w:t xml:space="preserve">- руководитель (лицо, единолично осуществляющее функции исполнительного органа) и члены исполнительного органа;</w:t>
      </w:r>
    </w:p>
    <w:p>
      <w:pPr>
        <w:spacing w:after="120"/>
        <w:ind w:firstLine="567"/>
        <w:jc w:val="both"/>
      </w:pPr>
      <w:r>
        <w:rPr>
          <w:rFonts w:ascii="Arial" w:cs="Arial" w:eastAsia="Arial" w:hAnsi="Arial"/>
          <w:sz w:val="24"/>
          <w:szCs w:val="24"/>
        </w:rPr>
        <w:t xml:space="preserve">- главный бухгалтер или единственный бухгалтер;</w:t>
      </w:r>
    </w:p>
    <w:p>
      <w:pPr>
        <w:spacing w:after="120"/>
        <w:ind w:firstLine="567"/>
        <w:jc w:val="both"/>
      </w:pPr>
      <w:r>
        <w:rPr>
          <w:rFonts w:ascii="Arial" w:cs="Arial" w:eastAsia="Arial" w:hAnsi="Arial"/>
          <w:sz w:val="24"/>
          <w:szCs w:val="24"/>
        </w:rPr>
        <w:t xml:space="preserve">- уполномоченный сотрудник или директор по рискам и комплаенсу.</w:t>
      </w:r>
    </w:p>
    <w:p>
      <w:pPr>
        <w:spacing w:after="120"/>
        <w:ind w:firstLine="567"/>
        <w:jc w:val="both"/>
      </w:pPr>
      <w:r>
        <w:rPr>
          <w:rFonts w:ascii="Arial" w:cs="Arial" w:eastAsia="Arial" w:hAnsi="Arial"/>
          <w:sz w:val="24"/>
          <w:szCs w:val="24"/>
        </w:rPr>
        <w:t xml:space="preserve">Должностное лицо оператора торгов виртуальных активов вправе занимать свою должность без согласования не более 45 (сорок пять) календарных дней со дня его назначения (избрания).</w:t>
      </w:r>
    </w:p>
    <w:p>
      <w:pPr>
        <w:spacing w:after="120"/>
        <w:ind w:firstLine="567"/>
        <w:jc w:val="both"/>
      </w:pPr>
      <w:r>
        <w:rPr>
          <w:rFonts w:ascii="Arial" w:cs="Arial" w:eastAsia="Arial" w:hAnsi="Arial"/>
          <w:sz w:val="24"/>
          <w:szCs w:val="24"/>
        </w:rPr>
        <w:t xml:space="preserve">По истечении срока, указанного в настоящем пункте, и в случаях непредставления полного пакета документов на согласование либо отказа в согласовании оператор торгов виртуальных активов обязан расторгнуть трудовой договор с данным лицом, либо в случае отсутствия трудового договора принять меры по прекращению полномочий данного должностного лица.</w:t>
      </w:r>
    </w:p>
    <w:p>
      <w:pPr>
        <w:spacing w:after="120"/>
        <w:ind w:firstLine="567"/>
        <w:jc w:val="both"/>
      </w:pPr>
      <w:r>
        <w:rPr>
          <w:rFonts w:ascii="Arial" w:cs="Arial" w:eastAsia="Arial" w:hAnsi="Arial"/>
          <w:sz w:val="24"/>
          <w:szCs w:val="24"/>
        </w:rPr>
        <w:t xml:space="preserve">Запрещается исполнение обязанностей (замещение временно отсутствующего) должностного лица оператора торгов виртуальных активов без согласования свыше срока, установленного настоящим пунктом.</w:t>
      </w:r>
    </w:p>
    <w:p>
      <w:pPr>
        <w:spacing w:after="120"/>
        <w:ind w:firstLine="567"/>
        <w:jc w:val="both"/>
      </w:pPr>
      <w:r>
        <w:rPr>
          <w:rFonts w:ascii="Arial" w:cs="Arial" w:eastAsia="Arial" w:hAnsi="Arial"/>
          <w:sz w:val="24"/>
          <w:szCs w:val="24"/>
        </w:rPr>
        <w:t xml:space="preserve">Для согласования должностного лица оператор торгов виртуальных активов должен представить в уполномоченный орган письмо о согласовании (отдельно) каждой кандидатуры с приложением заверенных копий следующих документов:</w:t>
      </w:r>
    </w:p>
    <w:p>
      <w:pPr>
        <w:spacing w:after="120"/>
        <w:ind w:firstLine="567"/>
        <w:jc w:val="both"/>
      </w:pPr>
      <w:r>
        <w:rPr>
          <w:rFonts w:ascii="Arial" w:cs="Arial" w:eastAsia="Arial" w:hAnsi="Arial"/>
          <w:sz w:val="24"/>
          <w:szCs w:val="24"/>
        </w:rPr>
        <w:t xml:space="preserve">- решение об избрании/назначении кандидатуры;</w:t>
      </w:r>
    </w:p>
    <w:p>
      <w:pPr>
        <w:spacing w:after="120"/>
        <w:ind w:firstLine="567"/>
        <w:jc w:val="both"/>
      </w:pPr>
      <w:r>
        <w:rPr>
          <w:rFonts w:ascii="Arial" w:cs="Arial" w:eastAsia="Arial" w:hAnsi="Arial"/>
          <w:sz w:val="24"/>
          <w:szCs w:val="24"/>
        </w:rPr>
        <w:t xml:space="preserve">- удостоверение личности кандидата;</w:t>
      </w:r>
    </w:p>
    <w:p>
      <w:pPr>
        <w:spacing w:after="120"/>
        <w:ind w:firstLine="567"/>
        <w:jc w:val="both"/>
      </w:pPr>
      <w:r>
        <w:rPr>
          <w:rFonts w:ascii="Arial" w:cs="Arial" w:eastAsia="Arial" w:hAnsi="Arial"/>
          <w:sz w:val="24"/>
          <w:szCs w:val="24"/>
        </w:rPr>
        <w:t xml:space="preserve">- оригинал справки об отсутствии судимости;</w:t>
      </w:r>
    </w:p>
    <w:p>
      <w:pPr>
        <w:spacing w:after="120"/>
        <w:ind w:firstLine="567"/>
        <w:jc w:val="both"/>
      </w:pPr>
      <w:r>
        <w:rPr>
          <w:rFonts w:ascii="Arial" w:cs="Arial" w:eastAsia="Arial" w:hAnsi="Arial"/>
          <w:sz w:val="24"/>
          <w:szCs w:val="24"/>
        </w:rPr>
        <w:t xml:space="preserve">- оригинал анкеты кандидата по установленной форме согласно приложению 2 к настоящему Положению.</w:t>
      </w:r>
    </w:p>
    <w:p>
      <w:pPr>
        <w:spacing w:after="120"/>
        <w:ind w:firstLine="567"/>
        <w:jc w:val="both"/>
      </w:pPr>
      <w:r>
        <w:rPr>
          <w:rFonts w:ascii="Arial" w:cs="Arial" w:eastAsia="Arial" w:hAnsi="Arial"/>
          <w:sz w:val="24"/>
          <w:szCs w:val="24"/>
        </w:rPr>
        <w:t xml:space="preserve">В случае если документы для согласования кандидатуры должностного лица имеются в системе межведомственного электронного взаимодействия "Тундук", то их представление в уполномоченный орган не требуется.</w:t>
      </w:r>
    </w:p>
    <w:p>
      <w:pPr>
        <w:spacing w:after="120"/>
        <w:ind w:firstLine="567"/>
        <w:jc w:val="both"/>
      </w:pPr>
      <w:r>
        <w:rPr>
          <w:rFonts w:ascii="Arial" w:cs="Arial" w:eastAsia="Arial" w:hAnsi="Arial"/>
          <w:sz w:val="24"/>
          <w:szCs w:val="24"/>
        </w:rPr>
        <w:t xml:space="preserve">При изменении в составе должностных лиц, прошедших процедуру согласования, оператор торгов виртуальных активов в течение 5 (пять) рабочих дней со дня избрания (назначения) нового должностного лица обязан предоставить в уполномоченный орган уведомление об изменениях. Письмо о согласовании новой кандидатуры представляется в уполномоченный орган в течение 10 (десять) рабочих дней с момента избрания (назначения) с приложением перечисленных выше документов.</w:t>
      </w:r>
    </w:p>
    <w:p>
      <w:pPr>
        <w:spacing w:after="120"/>
        <w:ind w:firstLine="567"/>
        <w:jc w:val="both"/>
      </w:pPr>
      <w:r>
        <w:rPr>
          <w:rFonts w:ascii="Arial" w:cs="Arial" w:eastAsia="Arial" w:hAnsi="Arial"/>
          <w:sz w:val="24"/>
          <w:szCs w:val="24"/>
        </w:rPr>
        <w:t xml:space="preserve">При изменении информации, содержащейся в пунктах анкеты, должностные лица, прошедшие согласование, обязаны уведомлять об этом (в письменной форме) уполномоченный орган в течение 10 (десять) рабочих дней после изменений.</w:t>
      </w:r>
    </w:p>
    <w:p>
      <w:pPr>
        <w:spacing w:after="120"/>
        <w:ind w:firstLine="567"/>
        <w:jc w:val="both"/>
      </w:pPr>
      <w:r>
        <w:rPr>
          <w:rFonts w:ascii="Arial" w:cs="Arial" w:eastAsia="Arial" w:hAnsi="Arial"/>
          <w:sz w:val="24"/>
          <w:szCs w:val="24"/>
        </w:rPr>
        <w:t xml:space="preserve">Документы на согласование должностного лица представляются на государственном или официальном языках.</w:t>
      </w:r>
    </w:p>
    <w:p>
      <w:pPr>
        <w:spacing w:after="120"/>
        <w:ind w:firstLine="567"/>
        <w:jc w:val="both"/>
      </w:pPr>
      <w:r>
        <w:rPr>
          <w:rFonts w:ascii="Arial" w:cs="Arial" w:eastAsia="Arial" w:hAnsi="Arial"/>
          <w:sz w:val="24"/>
          <w:szCs w:val="24"/>
        </w:rPr>
        <w:t xml:space="preserve">Документы, представленные для выдачи согласия на назначение (избрание) должностных лиц оператора торгов виртуальных активов, рассматриваются уполномоченным органом в течение 30 (тридцать) календарных дней с даты представления полного пакета документов в соответствии с требованиями настоящего Положения.</w:t>
      </w:r>
    </w:p>
    <w:p>
      <w:pPr>
        <w:spacing w:after="120"/>
        <w:ind w:firstLine="567"/>
        <w:jc w:val="both"/>
      </w:pPr>
      <w:r>
        <w:rPr>
          <w:rFonts w:ascii="Arial" w:cs="Arial" w:eastAsia="Arial" w:hAnsi="Arial"/>
          <w:sz w:val="24"/>
          <w:szCs w:val="24"/>
        </w:rPr>
        <w:t xml:space="preserve">В выдаче согласия на назначение (избрание) должностных лиц оператора торгов виртуальных активов отказывается по следующим основаниям:</w:t>
      </w:r>
    </w:p>
    <w:p>
      <w:pPr>
        <w:spacing w:after="120"/>
        <w:ind w:firstLine="567"/>
        <w:jc w:val="both"/>
      </w:pPr>
      <w:r>
        <w:rPr>
          <w:rFonts w:ascii="Arial" w:cs="Arial" w:eastAsia="Arial" w:hAnsi="Arial"/>
          <w:sz w:val="24"/>
          <w:szCs w:val="24"/>
        </w:rPr>
        <w:t xml:space="preserve">- несоответствие должностных лиц требованиям, установленным настоящим Положением;</w:t>
      </w:r>
    </w:p>
    <w:p>
      <w:pPr>
        <w:spacing w:after="120"/>
        <w:ind w:firstLine="567"/>
        <w:jc w:val="both"/>
      </w:pPr>
      <w:r>
        <w:rPr>
          <w:rFonts w:ascii="Arial" w:cs="Arial" w:eastAsia="Arial" w:hAnsi="Arial"/>
          <w:sz w:val="24"/>
          <w:szCs w:val="24"/>
        </w:rPr>
        <w:t xml:space="preserve">- неустранение оператором торгов виртуальных активов замечаний или представление оператором торгов виртуальных активов доработанных с учетом замечаний документов по истечении установленного настоящим пунктом срока рассмотрения документов;</w:t>
      </w:r>
    </w:p>
    <w:p>
      <w:pPr>
        <w:spacing w:after="120"/>
        <w:ind w:firstLine="567"/>
        <w:jc w:val="both"/>
      </w:pPr>
      <w:r>
        <w:rPr>
          <w:rFonts w:ascii="Arial" w:cs="Arial" w:eastAsia="Arial" w:hAnsi="Arial"/>
          <w:sz w:val="24"/>
          <w:szCs w:val="24"/>
        </w:rPr>
        <w:t xml:space="preserve">- представление документов по истечении установленного настоящим пунктом срока, в течение которого должностное лицо может занимать свою должность без согласования.</w:t>
      </w:r>
    </w:p>
    <w:p>
      <w:pPr>
        <w:spacing w:after="120"/>
        <w:ind w:firstLine="567"/>
        <w:jc w:val="both"/>
      </w:pPr>
      <w:r>
        <w:rPr>
          <w:rFonts w:ascii="Arial" w:cs="Arial" w:eastAsia="Arial" w:hAnsi="Arial"/>
          <w:sz w:val="24"/>
          <w:szCs w:val="24"/>
        </w:rPr>
        <w:t xml:space="preserve">Выданное согласие на назначение (избрание) должностного лица оператора торгов виртуальных активов отзывается по следующим основаниям:</w:t>
      </w:r>
    </w:p>
    <w:p>
      <w:pPr>
        <w:spacing w:after="120"/>
        <w:ind w:firstLine="567"/>
        <w:jc w:val="both"/>
      </w:pPr>
      <w:r>
        <w:rPr>
          <w:rFonts w:ascii="Arial" w:cs="Arial" w:eastAsia="Arial" w:hAnsi="Arial"/>
          <w:sz w:val="24"/>
          <w:szCs w:val="24"/>
        </w:rPr>
        <w:t xml:space="preserve">- выявление недостоверных сведений, на основании которых было выдано согласие;</w:t>
      </w:r>
    </w:p>
    <w:p>
      <w:pPr>
        <w:spacing w:after="120"/>
        <w:ind w:firstLine="567"/>
        <w:jc w:val="both"/>
      </w:pPr>
      <w:r>
        <w:rPr>
          <w:rFonts w:ascii="Arial" w:cs="Arial" w:eastAsia="Arial" w:hAnsi="Arial"/>
          <w:sz w:val="24"/>
          <w:szCs w:val="24"/>
        </w:rPr>
        <w:t xml:space="preserve">- систематическое (3 и более раза в течение последних 12 календарных месяцев) применение уполномоченным органом мер воздействия к должностному лицу и/или оператору торгов виртуальных активов, в котором данное должностное лицо занимает (занимал в течение последних 12 календарных месяцев) соответствующую должность;</w:t>
      </w:r>
    </w:p>
    <w:p>
      <w:pPr>
        <w:spacing w:after="120"/>
        <w:ind w:firstLine="567"/>
        <w:jc w:val="both"/>
      </w:pPr>
      <w:r>
        <w:rPr>
          <w:rFonts w:ascii="Arial" w:cs="Arial" w:eastAsia="Arial" w:hAnsi="Arial"/>
          <w:sz w:val="24"/>
          <w:szCs w:val="24"/>
        </w:rPr>
        <w:t xml:space="preserve">- наличие непогашенной судимости.</w:t>
      </w:r>
    </w:p>
    <w:p>
      <w:pPr>
        <w:spacing w:after="120"/>
        <w:ind w:firstLine="567"/>
        <w:jc w:val="both"/>
      </w:pPr>
      <w:r>
        <w:rPr>
          <w:rFonts w:ascii="Arial" w:cs="Arial" w:eastAsia="Arial" w:hAnsi="Arial"/>
          <w:sz w:val="24"/>
          <w:szCs w:val="24"/>
        </w:rPr>
        <w:t xml:space="preserve">В случае отзыва согласия на назначение (избрание) должностного лица оператора торгов виртуальных активов, оператор торгов виртуальных активов обязан расторгнуть трудовой договор с данным лицом не позднее чем через 14 (четырнадцать) календарных дней со дня получения отзыва. В случае если трудовой договор отсутствует, оператор торгов виртуальных активов должен принять меры по прекращению полномочий данного должностного лица.";</w:t>
      </w:r>
    </w:p>
    <w:p>
      <w:pPr>
        <w:spacing w:after="120"/>
        <w:ind w:firstLine="567"/>
        <w:jc w:val="both"/>
      </w:pPr>
      <w:r>
        <w:rPr>
          <w:rFonts w:ascii="Arial" w:cs="Arial" w:eastAsia="Arial" w:hAnsi="Arial"/>
          <w:sz w:val="24"/>
          <w:szCs w:val="24"/>
        </w:rPr>
        <w:t xml:space="preserve">- пункт 35 дополнить абзацем следующего содержания:</w:t>
      </w:r>
    </w:p>
    <w:p>
      <w:pPr>
        <w:spacing w:after="120"/>
        <w:ind w:firstLine="567"/>
        <w:jc w:val="both"/>
      </w:pPr>
      <w:r>
        <w:rPr>
          <w:rFonts w:ascii="Arial" w:cs="Arial" w:eastAsia="Arial" w:hAnsi="Arial"/>
          <w:sz w:val="24"/>
          <w:szCs w:val="24"/>
        </w:rPr>
        <w:t xml:space="preserve">"Физическим и юридическим лицам - резидентам Кыргызской Республики, запрещается проведение операций с виртуальными активами через нелицензированных операторов торгов виртуальных активов.";</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главу 8</w:t>
      </w:r>
      <w:r>
        <w:rPr>
          <w:rFonts w:ascii="Arial" w:cs="Arial" w:eastAsia="Arial" w:hAnsi="Arial"/>
          <w:sz w:val="24"/>
          <w:szCs w:val="24"/>
        </w:rPr>
        <w:t xml:space="preserve"> дополнить пунктами 39-1 - 39-3 следующего содержания:</w:t>
      </w:r>
    </w:p>
    <w:p>
      <w:pPr>
        <w:spacing w:after="120"/>
        <w:ind w:firstLine="567"/>
        <w:jc w:val="both"/>
      </w:pPr>
      <w:r>
        <w:rPr>
          <w:rFonts w:ascii="Arial" w:cs="Arial" w:eastAsia="Arial" w:hAnsi="Arial"/>
          <w:sz w:val="24"/>
          <w:szCs w:val="24"/>
        </w:rPr>
        <w:t xml:space="preserve">"39-1. Операторам торгов виртуальных активов запрещается:</w:t>
      </w:r>
    </w:p>
    <w:p>
      <w:pPr>
        <w:spacing w:after="120"/>
        <w:ind w:firstLine="567"/>
        <w:jc w:val="both"/>
      </w:pPr>
      <w:r>
        <w:rPr>
          <w:rFonts w:ascii="Arial" w:cs="Arial" w:eastAsia="Arial" w:hAnsi="Arial"/>
          <w:sz w:val="24"/>
          <w:szCs w:val="24"/>
        </w:rPr>
        <w:t xml:space="preserve">1) использовать в деятельности кошельки виртуальных активов повышенной конфиденциальности (Private Wallets), если обладатели/держатели таких кошельков не были идентифицированы надлежащим образом;</w:t>
      </w:r>
    </w:p>
    <w:p>
      <w:pPr>
        <w:spacing w:after="120"/>
        <w:ind w:firstLine="567"/>
        <w:jc w:val="both"/>
      </w:pPr>
      <w:r>
        <w:rPr>
          <w:rFonts w:ascii="Arial" w:cs="Arial" w:eastAsia="Arial" w:hAnsi="Arial"/>
          <w:sz w:val="24"/>
          <w:szCs w:val="24"/>
        </w:rPr>
        <w:t xml:space="preserve">2) использовать в деятельности виртуальные активы с повышенной конфиденциальностью (Private Coins) и токены с уникальными характеристиками (NFT);</w:t>
      </w:r>
    </w:p>
    <w:p>
      <w:pPr>
        <w:spacing w:after="120"/>
        <w:ind w:firstLine="567"/>
        <w:jc w:val="both"/>
      </w:pPr>
      <w:r>
        <w:rPr>
          <w:rFonts w:ascii="Arial" w:cs="Arial" w:eastAsia="Arial" w:hAnsi="Arial"/>
          <w:sz w:val="24"/>
          <w:szCs w:val="24"/>
        </w:rPr>
        <w:t xml:space="preserve">3) использовать в деятельности предоплаченные карты, выпущенные зарубежными финансовыми учреждениями;</w:t>
      </w:r>
    </w:p>
    <w:p>
      <w:pPr>
        <w:spacing w:after="120"/>
        <w:ind w:firstLine="567"/>
        <w:jc w:val="both"/>
      </w:pPr>
      <w:r>
        <w:rPr>
          <w:rFonts w:ascii="Arial" w:cs="Arial" w:eastAsia="Arial" w:hAnsi="Arial"/>
          <w:sz w:val="24"/>
          <w:szCs w:val="24"/>
        </w:rPr>
        <w:t xml:space="preserve">4) переводить виртуальные активы на адреса онлайн-казино;</w:t>
      </w:r>
    </w:p>
    <w:p>
      <w:pPr>
        <w:spacing w:after="120"/>
        <w:ind w:firstLine="567"/>
        <w:jc w:val="both"/>
      </w:pPr>
      <w:r>
        <w:rPr>
          <w:rFonts w:ascii="Arial" w:cs="Arial" w:eastAsia="Arial" w:hAnsi="Arial"/>
          <w:sz w:val="24"/>
          <w:szCs w:val="24"/>
        </w:rPr>
        <w:t xml:space="preserve">5) переводить виртуальные активы на децентрализованные системы (DeFi, DEX), если обладатели/держатели кошельков на таких системах/платформах не были идентифицированы надлежащим образом.</w:t>
      </w:r>
    </w:p>
    <w:p>
      <w:pPr>
        <w:spacing w:after="120"/>
        <w:ind w:firstLine="567"/>
        <w:jc w:val="both"/>
      </w:pPr>
      <w:r>
        <w:rPr>
          <w:rFonts w:ascii="Arial" w:cs="Arial" w:eastAsia="Arial" w:hAnsi="Arial"/>
          <w:sz w:val="24"/>
          <w:szCs w:val="24"/>
        </w:rPr>
        <w:t xml:space="preserve">Списки виртуальных активов, запрещенных к использованию, определяются уполномоченным органом и опубликовываются на интернет-сайте уполномоченного органа. Исключения могут быть одобрены отдельным операторам торгов виртуальных активов по запросу последнего и при условии предоставления детального процесса идентификации держателей таких виртуальных активов и системы контроля/мониторинга операций, связанных с такими виртуальными активами.</w:t>
      </w:r>
    </w:p>
    <w:p>
      <w:pPr>
        <w:spacing w:after="120"/>
        <w:ind w:firstLine="567"/>
        <w:jc w:val="both"/>
      </w:pPr>
      <w:r>
        <w:rPr>
          <w:rFonts w:ascii="Arial" w:cs="Arial" w:eastAsia="Arial" w:hAnsi="Arial"/>
          <w:sz w:val="24"/>
          <w:szCs w:val="24"/>
        </w:rPr>
        <w:t xml:space="preserve">39-2. Операторам торгов виртуальных активов разрешается использовать крипто-банкоматы (автоматизированные системы обмена фиатных средств и виртуальных активов) в своей деятельности.</w:t>
      </w:r>
    </w:p>
    <w:p>
      <w:pPr>
        <w:spacing w:after="120"/>
        <w:ind w:firstLine="567"/>
        <w:jc w:val="both"/>
      </w:pPr>
      <w:r>
        <w:rPr>
          <w:rFonts w:ascii="Arial" w:cs="Arial" w:eastAsia="Arial" w:hAnsi="Arial"/>
          <w:sz w:val="24"/>
          <w:szCs w:val="24"/>
        </w:rPr>
        <w:t xml:space="preserve">Крипто-банкоматами могут пользоваться только идентифицированные пользователи. Идентификация пользователей осуществляется в соответствии с требованиями законодательства в сфере противодействия финансированию террористической деятельности и легализации (отмыванию) преступных доходов и в сфере оборота виртуальных активов, а также внутренними процедурами оператора торгов виртуальных активов.</w:t>
      </w:r>
    </w:p>
    <w:p>
      <w:pPr>
        <w:spacing w:after="120"/>
        <w:ind w:firstLine="567"/>
        <w:jc w:val="both"/>
      </w:pPr>
      <w:r>
        <w:rPr>
          <w:rFonts w:ascii="Arial" w:cs="Arial" w:eastAsia="Arial" w:hAnsi="Arial"/>
          <w:sz w:val="24"/>
          <w:szCs w:val="24"/>
        </w:rPr>
        <w:t xml:space="preserve">Оператор торгов виртуальных активов обязан обеспечивать защиту и конфиденциальность данных, полученных в процессе идентификации пользователей, в соответствии с требованиями законодательства о защите персональных данных.</w:t>
      </w:r>
    </w:p>
    <w:p>
      <w:pPr>
        <w:spacing w:after="120"/>
        <w:ind w:firstLine="567"/>
        <w:jc w:val="both"/>
      </w:pPr>
      <w:r>
        <w:rPr>
          <w:rFonts w:ascii="Arial" w:cs="Arial" w:eastAsia="Arial" w:hAnsi="Arial"/>
          <w:sz w:val="24"/>
          <w:szCs w:val="24"/>
        </w:rPr>
        <w:t xml:space="preserve">Операторы торгов виртуальных активов обязаны предусмотреть меры технической и организационной защиты, предотвращающие возможность несанкционированного доступа к крипто-банкоматам и их использование неопознанными лицами.</w:t>
      </w:r>
    </w:p>
    <w:p>
      <w:pPr>
        <w:spacing w:after="120"/>
        <w:ind w:firstLine="567"/>
        <w:jc w:val="both"/>
      </w:pPr>
      <w:r>
        <w:rPr>
          <w:rFonts w:ascii="Arial" w:cs="Arial" w:eastAsia="Arial" w:hAnsi="Arial"/>
          <w:sz w:val="24"/>
          <w:szCs w:val="24"/>
        </w:rPr>
        <w:t xml:space="preserve">39-3. В случае если законодательство иностранных государств допускает применение виртуальных активов в качестве платежных средств и (или) иных средств для оплаты товаров, работ и (или) услуг, то операторам торгов виртуальных активов, зарегистрированным в Кыргызской Республике, предоставляется право оказания услуг по приему, проведению и (или) расчету виртуальными активами за товары, работы и (или) услуги, не являющиеся результатом их деятельности, в пользу третьих лиц посредством специализированной платформы.";</w:t>
      </w:r>
    </w:p>
    <w:p>
      <w:pPr>
        <w:spacing w:after="120"/>
        <w:ind w:firstLine="567"/>
        <w:jc w:val="both"/>
      </w:pPr>
      <w:r>
        <w:rPr>
          <w:rFonts w:ascii="Arial" w:cs="Arial" w:eastAsia="Arial" w:hAnsi="Arial"/>
          <w:sz w:val="24"/>
          <w:szCs w:val="24"/>
        </w:rPr>
        <w:t xml:space="preserve">- в пункте 48 слова "100000000 (сто миллионов) сомов" заменить словами "2000000 (два миллиона) расчетных показателей";</w:t>
      </w:r>
    </w:p>
    <w:p>
      <w:pPr>
        <w:spacing w:after="120"/>
        <w:ind w:firstLine="567"/>
        <w:jc w:val="both"/>
      </w:pPr>
      <w:r>
        <w:rPr>
          <w:rFonts w:ascii="Arial" w:cs="Arial" w:eastAsia="Arial" w:hAnsi="Arial"/>
          <w:sz w:val="24"/>
          <w:szCs w:val="24"/>
        </w:rPr>
        <w:t xml:space="preserve">- пункт 51 изложить в следующей редакции:</w:t>
      </w:r>
    </w:p>
    <w:p>
      <w:pPr>
        <w:spacing w:after="120"/>
        <w:ind w:firstLine="567"/>
        <w:jc w:val="both"/>
      </w:pPr>
      <w:r>
        <w:rPr>
          <w:rFonts w:ascii="Arial" w:cs="Arial" w:eastAsia="Arial" w:hAnsi="Arial"/>
          <w:sz w:val="24"/>
          <w:szCs w:val="24"/>
        </w:rPr>
        <w:t xml:space="preserve">"51. Для получения лицензии на ведение деятельности в качестве поставщика услуг виртуальных активов, осуществляемой оператором торгов виртуальных активов (криптобиржей), юридическое лицо представляет в уполномоченный орган следующие документы/сведения в одном экземпляре на государственном или официальном языках:</w:t>
      </w:r>
    </w:p>
    <w:p>
      <w:pPr>
        <w:spacing w:after="120"/>
        <w:ind w:firstLine="567"/>
        <w:jc w:val="both"/>
      </w:pPr>
      <w:r>
        <w:rPr>
          <w:rFonts w:ascii="Arial" w:cs="Arial" w:eastAsia="Arial" w:hAnsi="Arial"/>
          <w:sz w:val="24"/>
          <w:szCs w:val="24"/>
        </w:rPr>
        <w:t xml:space="preserve">1) заявление о выдаче лицензии, составленное по форме согласно приложению 1 к настоящему Положению, с печатью и подписью руководителя юридического лица;</w:t>
      </w:r>
    </w:p>
    <w:p>
      <w:pPr>
        <w:spacing w:after="120"/>
        <w:ind w:firstLine="567"/>
        <w:jc w:val="both"/>
      </w:pPr>
      <w:r>
        <w:rPr>
          <w:rFonts w:ascii="Arial" w:cs="Arial" w:eastAsia="Arial" w:hAnsi="Arial"/>
          <w:sz w:val="24"/>
          <w:szCs w:val="24"/>
        </w:rPr>
        <w:t xml:space="preserve">2) копии учредительных документов юридического лица, заверенные нотариально (устава и учредительного договора (при наличии более одного учредителя); решений о создании юридического лица, о размере уставного капитала, об избрании совета директоров (при наличии) и исполнительных органов управления);</w:t>
      </w:r>
    </w:p>
    <w:p>
      <w:pPr>
        <w:spacing w:after="120"/>
        <w:ind w:firstLine="567"/>
        <w:jc w:val="both"/>
      </w:pPr>
      <w:r>
        <w:rPr>
          <w:rFonts w:ascii="Arial" w:cs="Arial" w:eastAsia="Arial" w:hAnsi="Arial"/>
          <w:sz w:val="24"/>
          <w:szCs w:val="24"/>
        </w:rPr>
        <w:t xml:space="preserve">3) документы/сведения по акционерам/учредителям - физическим лицам и бенефициарным владельцам юридического лица (схематическое изображение структуры собственности юридического лица, которое позволяет установить конечных бенефициарных владельцев юридического лица; информация о владельцах пяти и более процентов акций в капитале юридического лица, содержащая идентификационные данные таких лиц, количество и процент акций в капитале, которыми обладает каждый такой акционер; копия паспорта (копия ID-паспорта для резидента, для нерезидента - копия паспорта гражданина иностранного государства); справка об отсутствии задолженности по уплате налогов и/или копия декларации о доходах, социальных отчислениях на дату подачи документов в форме, предусмотренной налоговым законодательством Кыргызской Республики (для физического лица - нерезидента необходимо предоставить аналогичные документы в соответствии с законодательством страны происхождения); справка об отсутствии судимости);</w:t>
      </w:r>
    </w:p>
    <w:p>
      <w:pPr>
        <w:spacing w:after="120"/>
        <w:ind w:firstLine="567"/>
        <w:jc w:val="both"/>
      </w:pPr>
      <w:r>
        <w:rPr>
          <w:rFonts w:ascii="Arial" w:cs="Arial" w:eastAsia="Arial" w:hAnsi="Arial"/>
          <w:sz w:val="24"/>
          <w:szCs w:val="24"/>
        </w:rPr>
        <w:t xml:space="preserve">4) документы должностных лиц юридического лица (копия паспорта (копия ID-паспорта для резидента, для нерезидента - копия паспорта гражданина иностранного государства); справка об отсутствии задолженности по уплате налогов и/или копия декларации о доходах, социальных отчислениях на дату подачи документов в форме, предусмотренной налоговым законодательством Кыргызской Республики (для физического лица - нерезидента необходимо предоставить аналогичные документы в соответствии с законодательством страны происхождения); справка об отсутствии судимости; актуальную биографию с указанием образования, полученных дипломов, соответствующих курсов профессиональной подготовки, которые он/она прошел, профессионального опыта, включая, в частности, названия всех организаций, в которых он/она работал, характер и продолжительность занимаемых должностей, деловой репутации);</w:t>
      </w:r>
    </w:p>
    <w:p>
      <w:pPr>
        <w:spacing w:after="120"/>
        <w:ind w:firstLine="567"/>
        <w:jc w:val="both"/>
      </w:pPr>
      <w:r>
        <w:rPr>
          <w:rFonts w:ascii="Arial" w:cs="Arial" w:eastAsia="Arial" w:hAnsi="Arial"/>
          <w:sz w:val="24"/>
          <w:szCs w:val="24"/>
        </w:rPr>
        <w:t xml:space="preserve">5) заполненные и подписанные акционерами/учредителями, должностными лицами и бенефициарными владельцами юридического лица анкеты по форме согласно приложениям </w:t>
      </w:r>
      <w:r>
        <w:rPr>
          <w:rFonts w:ascii="Arial" w:cs="Arial" w:eastAsia="Arial" w:hAnsi="Arial"/>
          <w:sz w:val="24"/>
          <w:szCs w:val="24"/>
        </w:rPr>
        <w:t xml:space="preserve">2 </w:t>
      </w:r>
      <w:r>
        <w:rPr>
          <w:rFonts w:ascii="Arial" w:cs="Arial" w:eastAsia="Arial" w:hAnsi="Arial"/>
          <w:sz w:val="24"/>
          <w:szCs w:val="24"/>
        </w:rPr>
        <w:t xml:space="preserve">и </w:t>
      </w:r>
      <w:r>
        <w:rPr>
          <w:rFonts w:ascii="Arial" w:cs="Arial" w:eastAsia="Arial" w:hAnsi="Arial"/>
          <w:sz w:val="24"/>
          <w:szCs w:val="24"/>
        </w:rPr>
        <w:t xml:space="preserve">3 </w:t>
      </w:r>
      <w:r>
        <w:rPr>
          <w:rFonts w:ascii="Arial" w:cs="Arial" w:eastAsia="Arial" w:hAnsi="Arial"/>
          <w:sz w:val="24"/>
          <w:szCs w:val="24"/>
        </w:rPr>
        <w:t xml:space="preserve">к настоящему Положению либо сканированные копии заполненных анкет с последующим предоставлением оригинала;</w:t>
      </w:r>
    </w:p>
    <w:p>
      <w:pPr>
        <w:spacing w:after="120"/>
        <w:ind w:firstLine="567"/>
        <w:jc w:val="both"/>
      </w:pPr>
      <w:r>
        <w:rPr>
          <w:rFonts w:ascii="Arial" w:cs="Arial" w:eastAsia="Arial" w:hAnsi="Arial"/>
          <w:sz w:val="24"/>
          <w:szCs w:val="24"/>
        </w:rPr>
        <w:t xml:space="preserve">6) копии внутренних документов/политик/процедур юридического лица, связанных с корпоративным управлением и менеджментом (документы должны быть прошиты, пронумерованы, заверены печатью и подписью руководителя юридического лица), описывающие политику внутреннего управления; политику внутреннего контроля; организационную/функциональную схему; политику управления рисками; общую матрицу рисков; реестр внутренних политик/процедур; порядок действий при возникновении нештатных ситуаций; руководство и материалы по обучению; порядок взаимных расчетов участников оператора торгов виртуальных активов (криптобиржи) при заключении сделок; порядок движения денежных средств, проходящих через агентов; детальное описание механизмов по управлению справочниками отправителей и получателей по проверке клиентов по международному и национальному перечням лиц, причастных к террористической и экстремистской деятельности или распространению оружия массового уничтожения; правила листинга виртуальных активов, включающие процедуры листинга иностранных виртуальных активов, выпущенных и обращающихся у иностранных операторов торгов виртуальных активов (криптобирж);</w:t>
      </w:r>
    </w:p>
    <w:p>
      <w:pPr>
        <w:spacing w:after="120"/>
        <w:ind w:firstLine="567"/>
        <w:jc w:val="both"/>
      </w:pPr>
      <w:r>
        <w:rPr>
          <w:rFonts w:ascii="Arial" w:cs="Arial" w:eastAsia="Arial" w:hAnsi="Arial"/>
          <w:sz w:val="24"/>
          <w:szCs w:val="24"/>
        </w:rPr>
        <w:t xml:space="preserve">7) документы/сведения, связанные с финансовыми вопросами юридического лица (программа/план операционных действий; бизнес-план (технико-экономическое обоснование), содержащий как минимум определение целей при оказании услуг, связанных с виртуальными активами, прогнозные расчеты экономических результатов, ожидаемых от оказания данных услуг, как минимум на 3 (три) года; блок-схему для каждой услуги, предоставляемой юридическим лицом (схема, визуализирующая последовательность шагов/процессов, которые происходят при предоставлении конкретной услуги клиентам/пользователям); политика и план обеспечения непрерывности деятельности; копия договора на открытие расчетного счета в банке для хранения и использования денежных средств от клиентов и от своих агентов за оказание услуг, связанных с виртуальными активами, а также отдельного счета для хозяйственной деятельности юридического лица; документ, подтверждающий внесение денежных средств в качестве уставного капитала, согласно настоящему Положению; финансовая отчетность на последнюю отчетную дату, переданная в налоговые органы, заверенные печатью и подписью руководителя юридического лица);</w:t>
      </w:r>
    </w:p>
    <w:p>
      <w:pPr>
        <w:spacing w:after="120"/>
        <w:ind w:firstLine="567"/>
        <w:jc w:val="both"/>
      </w:pPr>
      <w:r>
        <w:rPr>
          <w:rFonts w:ascii="Arial" w:cs="Arial" w:eastAsia="Arial" w:hAnsi="Arial"/>
          <w:sz w:val="24"/>
          <w:szCs w:val="24"/>
        </w:rPr>
        <w:t xml:space="preserve">8) сведения/документы о ресурсах юридического лица (описание кадровых и технических ресурсов, выделенных на запланированную деятельность; кадровый и технический прогноз по каждому виду деятельности; акт установки и введения в промышленную эксплуатацию платформы, размещенной на серверах, один из которых (основной сервер) должен находиться на территории Кыргызской Республики, а другой (запасной сервер) в целях защиты программного обеспечения и защиты от кибератак - на территории иностранного государства);</w:t>
      </w:r>
    </w:p>
    <w:p>
      <w:pPr>
        <w:spacing w:after="120"/>
        <w:ind w:firstLine="567"/>
        <w:jc w:val="both"/>
      </w:pPr>
      <w:r>
        <w:rPr>
          <w:rFonts w:ascii="Arial" w:cs="Arial" w:eastAsia="Arial" w:hAnsi="Arial"/>
          <w:sz w:val="24"/>
          <w:szCs w:val="24"/>
        </w:rPr>
        <w:t xml:space="preserve">9) документы/сведения по системе противодействия финансированию террористической деятельности и легализации (отмыванию) преступных доходов юридического лица (руководство по противодействию финансированию террористической деятельности и легализации (отмыванию) преступных доходов; процедуры должной осмотрительности, идентификации и верификации клиентов; политика принятия клиентов в рамках противодействия финансированию террористической деятельности и легализации (отмыванию) преступных доходов; процедуры мониторинга клиентов и транзакций в рамках противодействия финансированию террористической деятельности и легализации (отмыванию) преступных доходов; руководство по обучению в области противодействия финансированию террористической деятельности и легализации (отмыванию); соглашения с поставщиками услуг в области противодействия финансированию террористической деятельности и легализации (отмыванию) преступных доходов; матрица рисков финансирования террористической деятельности и легализации (отмыванию) преступных доходов; функциональные возможности инструментов для оценки рисков, связанных с финансированием террористической деятельности и легализацией (отмыванием) преступных доходов; сценарии противодействия финансированию террористической деятельности и легализации (отмыванию) преступных доходов, реализованные в инструментах; объем предупреждений о противодействии финансированию террористической деятельности и легализации (отмыванию) преступных доходов и количество клиентов, классифицированных по уровню рисков);</w:t>
      </w:r>
    </w:p>
    <w:p>
      <w:pPr>
        <w:spacing w:after="120"/>
        <w:ind w:firstLine="567"/>
        <w:jc w:val="both"/>
      </w:pPr>
      <w:r>
        <w:rPr>
          <w:rFonts w:ascii="Arial" w:cs="Arial" w:eastAsia="Arial" w:hAnsi="Arial"/>
          <w:sz w:val="24"/>
          <w:szCs w:val="24"/>
        </w:rPr>
        <w:t xml:space="preserve">10) документы по кибербезопасности и политике информационных технологий юридического лица (процедуры, регламентирующие порядок обеспечения информационной безопасности (кибербезопасности) - описание организации безопасности; политика обработки данных (внутренняя и внешняя); политика кибербезопасности; процедуры оценки и регистрации киберрисков; процедуры управления ключами криптокошельков; порядок обработки персональных данных клиентов);</w:t>
      </w:r>
    </w:p>
    <w:p>
      <w:pPr>
        <w:spacing w:after="120"/>
        <w:ind w:firstLine="567"/>
        <w:jc w:val="both"/>
      </w:pPr>
      <w:r>
        <w:rPr>
          <w:rFonts w:ascii="Arial" w:cs="Arial" w:eastAsia="Arial" w:hAnsi="Arial"/>
          <w:sz w:val="24"/>
          <w:szCs w:val="24"/>
        </w:rPr>
        <w:t xml:space="preserve">11) сведения/документы клиентов юридического лица (общие положения и условия; порядок проведения претензионной работы; политика защиты прав клиентов/инвесторов; ценовая политика для клиентов; порядок возврата денежных средств клиентам);</w:t>
      </w:r>
    </w:p>
    <w:p>
      <w:pPr>
        <w:spacing w:after="120"/>
        <w:ind w:firstLine="567"/>
        <w:jc w:val="both"/>
      </w:pPr>
      <w:r>
        <w:rPr>
          <w:rFonts w:ascii="Arial" w:cs="Arial" w:eastAsia="Arial" w:hAnsi="Arial"/>
          <w:sz w:val="24"/>
          <w:szCs w:val="24"/>
        </w:rPr>
        <w:t xml:space="preserve">12) доверенность за подписью руководителя или иного уполномоченного лица в соответствии с учредительными документами, с оттиском печати, выданная представителю на получение лицензии, если от имени юридического лица действует представитель по доверенности;</w:t>
      </w:r>
    </w:p>
    <w:p>
      <w:pPr>
        <w:spacing w:after="120"/>
        <w:ind w:firstLine="567"/>
        <w:jc w:val="both"/>
      </w:pPr>
      <w:r>
        <w:rPr>
          <w:rFonts w:ascii="Arial" w:cs="Arial" w:eastAsia="Arial" w:hAnsi="Arial"/>
          <w:sz w:val="24"/>
          <w:szCs w:val="24"/>
        </w:rPr>
        <w:t xml:space="preserve">13) данные о деловой репутации юридического лица;</w:t>
      </w:r>
    </w:p>
    <w:p>
      <w:pPr>
        <w:spacing w:after="120"/>
        <w:ind w:firstLine="567"/>
        <w:jc w:val="both"/>
      </w:pPr>
      <w:r>
        <w:rPr>
          <w:rFonts w:ascii="Arial" w:cs="Arial" w:eastAsia="Arial" w:hAnsi="Arial"/>
          <w:sz w:val="24"/>
          <w:szCs w:val="24"/>
        </w:rPr>
        <w:t xml:space="preserve">14) документ, подтверждающий оплату государственной пошлины за лицензию.";</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главу 16</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 абзац первый пункта 90 после слова "ежеквартально" дополнить словами "не позднее 10 рабочих дней после даты окончания отчетного квартала";</w:t>
      </w:r>
    </w:p>
    <w:p>
      <w:pPr>
        <w:spacing w:after="120"/>
        <w:ind w:firstLine="567"/>
        <w:jc w:val="both"/>
      </w:pPr>
      <w:r>
        <w:rPr>
          <w:rFonts w:ascii="Arial" w:cs="Arial" w:eastAsia="Arial" w:hAnsi="Arial"/>
          <w:sz w:val="24"/>
          <w:szCs w:val="24"/>
        </w:rPr>
        <w:t xml:space="preserve">- дополнить пунктом 90-1 следующего содержания:</w:t>
      </w:r>
    </w:p>
    <w:p>
      <w:pPr>
        <w:spacing w:after="120"/>
        <w:ind w:firstLine="567"/>
        <w:jc w:val="both"/>
      </w:pPr>
      <w:r>
        <w:rPr>
          <w:rFonts w:ascii="Arial" w:cs="Arial" w:eastAsia="Arial" w:hAnsi="Arial"/>
          <w:sz w:val="24"/>
          <w:szCs w:val="24"/>
        </w:rPr>
        <w:t xml:space="preserve">"90-1. Деятельность оператора торгов виртуальных активов подлежит ежегодной внешней аудиторской проверке согласно законодательству Кыргызской Республики в области аудиторской деятельности и международным стандартам аудита.</w:t>
      </w:r>
    </w:p>
    <w:p>
      <w:pPr>
        <w:spacing w:after="120"/>
        <w:ind w:firstLine="567"/>
        <w:jc w:val="both"/>
      </w:pPr>
      <w:r>
        <w:rPr>
          <w:rFonts w:ascii="Arial" w:cs="Arial" w:eastAsia="Arial" w:hAnsi="Arial"/>
          <w:sz w:val="24"/>
          <w:szCs w:val="24"/>
        </w:rPr>
        <w:t xml:space="preserve">Внешним аудитором оператора торгов виртуальных активов может быть только аудиторская организация, включенная в Единый государственный реестр аудиторов, аудиторских организаций и профессиональных аудиторских объединений на территории Кыргызской Республики.</w:t>
      </w:r>
    </w:p>
    <w:p>
      <w:pPr>
        <w:spacing w:after="120"/>
        <w:ind w:firstLine="567"/>
        <w:jc w:val="both"/>
      </w:pPr>
      <w:r>
        <w:rPr>
          <w:rFonts w:ascii="Arial" w:cs="Arial" w:eastAsia="Arial" w:hAnsi="Arial"/>
          <w:sz w:val="24"/>
          <w:szCs w:val="24"/>
        </w:rPr>
        <w:t xml:space="preserve">По завершении финансового года оператор торгов виртуальных активов обязан:</w:t>
      </w:r>
    </w:p>
    <w:p>
      <w:pPr>
        <w:spacing w:after="120"/>
        <w:ind w:firstLine="567"/>
        <w:jc w:val="both"/>
      </w:pPr>
      <w:r>
        <w:rPr>
          <w:rFonts w:ascii="Arial" w:cs="Arial" w:eastAsia="Arial" w:hAnsi="Arial"/>
          <w:sz w:val="24"/>
          <w:szCs w:val="24"/>
        </w:rPr>
        <w:t xml:space="preserve">- обеспечить проведение внешнего аудита оператора торгов виртуальных активов в срок до 90 (девяносто) дней с начала нового финансового года;</w:t>
      </w:r>
    </w:p>
    <w:p>
      <w:pPr>
        <w:spacing w:after="120"/>
        <w:ind w:firstLine="567"/>
        <w:jc w:val="both"/>
      </w:pPr>
      <w:r>
        <w:rPr>
          <w:rFonts w:ascii="Arial" w:cs="Arial" w:eastAsia="Arial" w:hAnsi="Arial"/>
          <w:sz w:val="24"/>
          <w:szCs w:val="24"/>
        </w:rPr>
        <w:t xml:space="preserve">- представить уполномоченному органу заверенную копию аудиторского заключения вместе с финансовой отчетностью и письмом аудитора к руководству оператора торгов виртуальных активов в срок не позднее 15 (пятнадцать) дней с начала нового финансового года.";</w:t>
      </w:r>
    </w:p>
    <w:p>
      <w:pPr>
        <w:spacing w:after="12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приложения 2</w:t>
      </w:r>
      <w:r>
        <w:rPr>
          <w:rFonts w:ascii="Arial" w:cs="Arial" w:eastAsia="Arial" w:hAnsi="Arial"/>
          <w:sz w:val="24"/>
          <w:szCs w:val="24"/>
        </w:rPr>
        <w:t xml:space="preserve"> к вышеуказанному Положению изложить в следующей редакции: "Анкета акционера/учредителя, бенефициарного владельца и должностного лица оператора торгов виртуальных активов (криптобиржи)";</w:t>
      </w:r>
    </w:p>
    <w:p>
      <w:pPr>
        <w:spacing w:after="12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приложения 3</w:t>
      </w:r>
      <w:r>
        <w:rPr>
          <w:rFonts w:ascii="Arial" w:cs="Arial" w:eastAsia="Arial" w:hAnsi="Arial"/>
          <w:sz w:val="24"/>
          <w:szCs w:val="24"/>
        </w:rPr>
        <w:t xml:space="preserve"> к вышеуказанному Положению изложить в следующей редакции: "Анкета акционера/учредителя, бенефициарного владельца оператора торгов виртуальных активов (криптобиржи)";</w:t>
      </w:r>
    </w:p>
    <w:p>
      <w:pPr>
        <w:spacing w:after="120"/>
        <w:ind w:firstLine="567"/>
        <w:jc w:val="both"/>
      </w:pPr>
      <w:r>
        <w:rPr>
          <w:rFonts w:ascii="Arial" w:cs="Arial" w:eastAsia="Arial" w:hAnsi="Arial"/>
          <w:sz w:val="24"/>
          <w:szCs w:val="24"/>
        </w:rPr>
        <w:t xml:space="preserve">- приложения </w:t>
      </w: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9</w:t>
      </w:r>
      <w:r>
        <w:rPr>
          <w:rFonts w:ascii="Arial" w:cs="Arial" w:eastAsia="Arial" w:hAnsi="Arial"/>
          <w:sz w:val="24"/>
          <w:szCs w:val="24"/>
        </w:rPr>
        <w:t xml:space="preserve"> к вышеуказанному Положению признать утратившими силу;</w:t>
      </w:r>
    </w:p>
    <w:p>
      <w:pPr>
        <w:spacing w:after="120"/>
        <w:ind w:firstLine="567"/>
        <w:jc w:val="both"/>
      </w:pPr>
      <w:r>
        <w:rPr>
          <w:rFonts w:ascii="Arial" w:cs="Arial" w:eastAsia="Arial" w:hAnsi="Arial"/>
          <w:sz w:val="24"/>
          <w:szCs w:val="24"/>
        </w:rPr>
        <w:t xml:space="preserve">3) в </w:t>
      </w:r>
      <w:r>
        <w:rPr>
          <w:rFonts w:ascii="Arial" w:cs="Arial" w:eastAsia="Arial" w:hAnsi="Arial"/>
          <w:sz w:val="24"/>
          <w:szCs w:val="24"/>
        </w:rPr>
        <w:t xml:space="preserve">Положении</w:t>
      </w:r>
      <w:r>
        <w:rPr>
          <w:rFonts w:ascii="Arial" w:cs="Arial" w:eastAsia="Arial" w:hAnsi="Arial"/>
          <w:sz w:val="24"/>
          <w:szCs w:val="24"/>
        </w:rPr>
        <w:t xml:space="preserve"> об эмиссии (выпуске), обращении виртуальных активов и о порядке ведения Единого государственного реестра эмиссий виртуальных активов, утвержденном вышеуказанным </w:t>
      </w:r>
      <w:hyperlink w:history="1" r:id="rIdsmtfxocczttbt8ubibpt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 пункте 1:</w:t>
      </w:r>
    </w:p>
    <w:p>
      <w:pPr>
        <w:spacing w:after="120"/>
        <w:ind w:firstLine="567"/>
        <w:jc w:val="both"/>
      </w:pPr>
      <w:r>
        <w:rPr>
          <w:rFonts w:ascii="Arial" w:cs="Arial" w:eastAsia="Arial" w:hAnsi="Arial"/>
          <w:sz w:val="24"/>
          <w:szCs w:val="24"/>
        </w:rPr>
        <w:t xml:space="preserve">абзацы третий, девятый признать утратившими силу;</w:t>
      </w:r>
    </w:p>
    <w:p>
      <w:pPr>
        <w:spacing w:after="120"/>
        <w:ind w:firstLine="567"/>
        <w:jc w:val="both"/>
      </w:pPr>
      <w:r>
        <w:rPr>
          <w:rFonts w:ascii="Arial" w:cs="Arial" w:eastAsia="Arial" w:hAnsi="Arial"/>
          <w:sz w:val="24"/>
          <w:szCs w:val="24"/>
        </w:rPr>
        <w:t xml:space="preserve">абзацы четвертый, пятый изложить в следующей редакции:</w:t>
      </w:r>
    </w:p>
    <w:p>
      <w:pPr>
        <w:spacing w:after="120"/>
        <w:ind w:firstLine="567"/>
        <w:jc w:val="both"/>
      </w:pPr>
      <w:r>
        <w:rPr>
          <w:rFonts w:ascii="Arial" w:cs="Arial" w:eastAsia="Arial" w:hAnsi="Arial"/>
          <w:sz w:val="24"/>
          <w:szCs w:val="24"/>
        </w:rPr>
        <w:t xml:space="preserve">"государственная регистрация эмиссии и публичного размещения виртуальных активов - присвоение выпуску виртуальных активов государственного регистрационного номера, сопровождающееся государственной регистрацией белой бумаги (white paper) выпуска виртуальных активов, а также внесение сведений об этом, в том числе о виртуальных активах, их эмитенте, в Единый государственный реестр эмиссий виртуальных активов;</w:t>
      </w:r>
    </w:p>
    <w:p>
      <w:pPr>
        <w:spacing w:after="120"/>
        <w:ind w:firstLine="567"/>
        <w:jc w:val="both"/>
      </w:pPr>
      <w:r>
        <w:rPr>
          <w:rFonts w:ascii="Arial" w:cs="Arial" w:eastAsia="Arial" w:hAnsi="Arial"/>
          <w:sz w:val="24"/>
          <w:szCs w:val="24"/>
        </w:rPr>
        <w:t xml:space="preserve">номинальная стоимость виртуального актива - стоимость (цена) виртуального актива выраженная в национальной или иностранной валюте по решению эмитента виртуальных активов, по которой виртуальный актив заявлен к размещению;";</w:t>
      </w:r>
    </w:p>
    <w:p>
      <w:pPr>
        <w:spacing w:after="120"/>
        <w:ind w:firstLine="567"/>
        <w:jc w:val="both"/>
      </w:pPr>
      <w:r>
        <w:rPr>
          <w:rFonts w:ascii="Arial" w:cs="Arial" w:eastAsia="Arial" w:hAnsi="Arial"/>
          <w:sz w:val="24"/>
          <w:szCs w:val="24"/>
        </w:rPr>
        <w:t xml:space="preserve">дополнить абзацем следующего содержания:</w:t>
      </w:r>
    </w:p>
    <w:p>
      <w:pPr>
        <w:spacing w:after="120"/>
        <w:ind w:firstLine="567"/>
        <w:jc w:val="both"/>
      </w:pPr>
      <w:r>
        <w:rPr>
          <w:rFonts w:ascii="Arial" w:cs="Arial" w:eastAsia="Arial" w:hAnsi="Arial"/>
          <w:sz w:val="24"/>
          <w:szCs w:val="24"/>
        </w:rPr>
        <w:t xml:space="preserve">"залоговая стоимость - стоимость актива, используемого в качестве залога.";</w:t>
      </w:r>
    </w:p>
    <w:p>
      <w:pPr>
        <w:spacing w:after="120"/>
        <w:ind w:firstLine="567"/>
        <w:jc w:val="both"/>
      </w:pPr>
      <w:r>
        <w:rPr>
          <w:rFonts w:ascii="Arial" w:cs="Arial" w:eastAsia="Arial" w:hAnsi="Arial"/>
          <w:sz w:val="24"/>
          <w:szCs w:val="24"/>
        </w:rPr>
        <w:t xml:space="preserve">- пункт 2 изложить в следующей редакции:</w:t>
      </w:r>
    </w:p>
    <w:p>
      <w:pPr>
        <w:spacing w:after="120"/>
        <w:ind w:firstLine="567"/>
        <w:jc w:val="both"/>
      </w:pPr>
      <w:r>
        <w:rPr>
          <w:rFonts w:ascii="Arial" w:cs="Arial" w:eastAsia="Arial" w:hAnsi="Arial"/>
          <w:sz w:val="24"/>
          <w:szCs w:val="24"/>
        </w:rPr>
        <w:t xml:space="preserve">"2. Государственная регистрация эмиссии и публичного размещения виртуальных активов, а также ведение Единого государственного реестра эмиссий виртуальных активов осуществляются уполномоченным государственным органом Кыргызской Республики.";</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главу 1</w:t>
      </w:r>
      <w:r>
        <w:rPr>
          <w:rFonts w:ascii="Arial" w:cs="Arial" w:eastAsia="Arial" w:hAnsi="Arial"/>
          <w:sz w:val="24"/>
          <w:szCs w:val="24"/>
        </w:rPr>
        <w:t xml:space="preserve"> дополнить пунктами 3-1 - 3-11 следующего содержания:</w:t>
      </w:r>
    </w:p>
    <w:p>
      <w:pPr>
        <w:spacing w:after="120"/>
        <w:ind w:firstLine="567"/>
        <w:jc w:val="both"/>
      </w:pPr>
      <w:r>
        <w:rPr>
          <w:rFonts w:ascii="Arial" w:cs="Arial" w:eastAsia="Arial" w:hAnsi="Arial"/>
          <w:sz w:val="24"/>
          <w:szCs w:val="24"/>
        </w:rPr>
        <w:t xml:space="preserve">"3-1. На территории Кыргызской Республики запрещается выпуск не обеспеченных виртуальных активов.</w:t>
      </w:r>
    </w:p>
    <w:p>
      <w:pPr>
        <w:spacing w:after="120"/>
        <w:ind w:firstLine="567"/>
        <w:jc w:val="both"/>
      </w:pPr>
      <w:r>
        <w:rPr>
          <w:rFonts w:ascii="Arial" w:cs="Arial" w:eastAsia="Arial" w:hAnsi="Arial"/>
          <w:sz w:val="24"/>
          <w:szCs w:val="24"/>
        </w:rPr>
        <w:t xml:space="preserve">3-2. При выпуске виртуальных активов их эмитент обязан назначить управляющего залогом в интересах лиц, зарегистрированных в качестве владельцев в реестре держателей виртуальных активов, который ведется оператором торгов виртуальных активов (криптобиржей). Управляющим залогом по виртуальным активам вправе выступать только лицо, соответствующее требованиям законодательства и имеющее лицензию на право осуществления деятельности оператора торгов виртуальных активов (криптобиржи) или банка. Управляющий залогом не может быть аффилированным лицом по отношению к эмитенту виртуальных активов и по отношению к любому кредитору эмитента, размер обязательств эмитента перед которым превышает 10 процентов от балансовой стоимости его активов.</w:t>
      </w:r>
    </w:p>
    <w:p>
      <w:pPr>
        <w:spacing w:after="120"/>
        <w:ind w:firstLine="567"/>
        <w:jc w:val="both"/>
      </w:pPr>
      <w:r>
        <w:rPr>
          <w:rFonts w:ascii="Arial" w:cs="Arial" w:eastAsia="Arial" w:hAnsi="Arial"/>
          <w:sz w:val="24"/>
          <w:szCs w:val="24"/>
        </w:rPr>
        <w:t xml:space="preserve">3-3. В случае, если обеспечение и/или залог по виртуальным активам предоставлены третьим лицом, решение о выпуске и размещении виртуальных активов и белая бумага (white paper) должны быть подписаны также лицом, предоставившим такое обеспечение и/или залог, а между управляющим залогом и лицом (лицами), предоставившими такое обеспечение, должны быть заключены и зарегистрированы договоры залога в пользу владельцев виртуальных активов, а также соглашение о внесудебном порядке обращения взыскания на предмет залога.</w:t>
      </w:r>
    </w:p>
    <w:p>
      <w:pPr>
        <w:spacing w:after="120"/>
        <w:ind w:firstLine="567"/>
        <w:jc w:val="both"/>
      </w:pPr>
      <w:r>
        <w:rPr>
          <w:rFonts w:ascii="Arial" w:cs="Arial" w:eastAsia="Arial" w:hAnsi="Arial"/>
          <w:sz w:val="24"/>
          <w:szCs w:val="24"/>
        </w:rPr>
        <w:t xml:space="preserve">3-4. Предметом залога виртуальных активов могут быть активы эмитента виртуальных активов, указанные в пункте 3-5 настоящего Положения.</w:t>
      </w:r>
    </w:p>
    <w:p>
      <w:pPr>
        <w:spacing w:after="120"/>
        <w:ind w:firstLine="567"/>
        <w:jc w:val="both"/>
      </w:pPr>
      <w:r>
        <w:rPr>
          <w:rFonts w:ascii="Arial" w:cs="Arial" w:eastAsia="Arial" w:hAnsi="Arial"/>
          <w:sz w:val="24"/>
          <w:szCs w:val="24"/>
        </w:rPr>
        <w:t xml:space="preserve">3-5. Структура и состав предмета залога по виртуальным активам:</w:t>
      </w:r>
    </w:p>
    <w:p>
      <w:pPr>
        <w:spacing w:after="120"/>
        <w:ind w:firstLine="567"/>
        <w:jc w:val="both"/>
      </w:pPr>
      <w:r>
        <w:rPr>
          <w:rFonts w:ascii="Arial" w:cs="Arial" w:eastAsia="Arial" w:hAnsi="Arial"/>
          <w:sz w:val="24"/>
          <w:szCs w:val="24"/>
        </w:rPr>
        <w:t xml:space="preserve">1) виртуальные активы могут быть обеспечены залогом государственных ценных бумаг - до 100 процентов от объема эмиссии виртуальных активов, сопровождающегося залогом данных ценных бумаг;</w:t>
      </w:r>
    </w:p>
    <w:p>
      <w:pPr>
        <w:spacing w:after="120"/>
        <w:ind w:firstLine="567"/>
        <w:jc w:val="both"/>
      </w:pPr>
      <w:r>
        <w:rPr>
          <w:rFonts w:ascii="Arial" w:cs="Arial" w:eastAsia="Arial" w:hAnsi="Arial"/>
          <w:sz w:val="24"/>
          <w:szCs w:val="24"/>
        </w:rPr>
        <w:t xml:space="preserve">2) виртуальные активы могут быть обеспечены залогом простых именных акций эмитентов Кыргызской Республики, созданных в форме открытых акционерных обществ, прошедших листинг у лицензированного организатора торгов по наивысшей и следующей за наивысшей категориям - не более 40 процентов от объема эмиссии виртуальных активов. При этом залоговая цена таких акций должна быть не более 80 процентов от оценочной стоимости согласно независимой оценочной экспертизе;</w:t>
      </w:r>
    </w:p>
    <w:p>
      <w:pPr>
        <w:spacing w:after="120"/>
        <w:ind w:firstLine="567"/>
        <w:jc w:val="both"/>
      </w:pPr>
      <w:r>
        <w:rPr>
          <w:rFonts w:ascii="Arial" w:cs="Arial" w:eastAsia="Arial" w:hAnsi="Arial"/>
          <w:sz w:val="24"/>
          <w:szCs w:val="24"/>
        </w:rPr>
        <w:t xml:space="preserve">3) виртуальные активы могут быть обеспечены залогом права на разработку и использование месторождений полезных ископаемых и иных природных ресурсов, недвижимого имущества, принадлежащим юридическим лицам, при этом залоговая стоимость такого имущества не должна быть более 70 процентов от ее оценочной стоимости согласно независимой оценочной экспертизе;</w:t>
      </w:r>
    </w:p>
    <w:p>
      <w:pPr>
        <w:spacing w:after="120"/>
        <w:ind w:firstLine="567"/>
        <w:jc w:val="both"/>
      </w:pPr>
      <w:r>
        <w:rPr>
          <w:rFonts w:ascii="Arial" w:cs="Arial" w:eastAsia="Arial" w:hAnsi="Arial"/>
          <w:sz w:val="24"/>
          <w:szCs w:val="24"/>
        </w:rPr>
        <w:t xml:space="preserve">4) виртуальные активы могут быть обеспечены залогом в виде золота, денежных средств в национальной и иностранной валютах, при этом залоговая стоимость принимается в размере 100 процентов от оценочной стоимости золота согласно независимой оценочной экспертизе.</w:t>
      </w:r>
    </w:p>
    <w:p>
      <w:pPr>
        <w:spacing w:after="120"/>
        <w:ind w:firstLine="567"/>
        <w:jc w:val="both"/>
      </w:pPr>
      <w:r>
        <w:rPr>
          <w:rFonts w:ascii="Arial" w:cs="Arial" w:eastAsia="Arial" w:hAnsi="Arial"/>
          <w:sz w:val="24"/>
          <w:szCs w:val="24"/>
        </w:rPr>
        <w:t xml:space="preserve">3-6. Имущество, являющееся предметом обеспечения и/или залога по виртуальным активам, подлежит оценке независимым оценщиком не позднее чем за один месяц до подачи документов в уполномоченный государственный орган для регистрации эмиссии и публичного размещения виртуальных активов. Оценка залоговой стоимости считается актуальной в течение шести месяцев.</w:t>
      </w:r>
    </w:p>
    <w:p>
      <w:pPr>
        <w:spacing w:after="120"/>
        <w:ind w:firstLine="567"/>
        <w:jc w:val="both"/>
      </w:pPr>
      <w:r>
        <w:rPr>
          <w:rFonts w:ascii="Arial" w:cs="Arial" w:eastAsia="Arial" w:hAnsi="Arial"/>
          <w:sz w:val="24"/>
          <w:szCs w:val="24"/>
        </w:rPr>
        <w:t xml:space="preserve">3-7. Решение о выпуске и размещении виртуальных активов в случае, если предметом залога выступает недвижимое имущество, подлежит регистрации в уполномоченном государственном органе по регистрации прав на недвижимое имущество до представления документов в уполномоченный государственный орган для регистрации эмиссии и публичного размещения виртуальных активов.</w:t>
      </w:r>
    </w:p>
    <w:p>
      <w:pPr>
        <w:spacing w:after="120"/>
        <w:ind w:firstLine="567"/>
        <w:jc w:val="both"/>
      </w:pPr>
      <w:r>
        <w:rPr>
          <w:rFonts w:ascii="Arial" w:cs="Arial" w:eastAsia="Arial" w:hAnsi="Arial"/>
          <w:sz w:val="24"/>
          <w:szCs w:val="24"/>
        </w:rPr>
        <w:t xml:space="preserve">3-8. Решение о выпуске и размещении виртуальных активов в случае, если предметом залога выступают ценные бумаги, подлежит регистрации соответствующим независимым реестродержателем либо депозитарием, где ценные бумаги, являющиеся предметом залога, депонированы до представления документов в уполномоченный государственный орган для регистрации эмиссии и публичного размещения виртуальных активов.</w:t>
      </w:r>
    </w:p>
    <w:p>
      <w:pPr>
        <w:spacing w:after="120"/>
        <w:ind w:firstLine="567"/>
        <w:jc w:val="both"/>
      </w:pPr>
      <w:r>
        <w:rPr>
          <w:rFonts w:ascii="Arial" w:cs="Arial" w:eastAsia="Arial" w:hAnsi="Arial"/>
          <w:sz w:val="24"/>
          <w:szCs w:val="24"/>
        </w:rPr>
        <w:t xml:space="preserve">3-9. Решение о выпуске и размещении виртуальных активов в случае, если предметом залога выступают золото, денежные средства и право на разработку месторождения, подлежит регистрации оператором торгов виртуальных активов (криптобиржей) или банком, где данное имущество, являющееся предметом залога, депонировано до представления документов в уполномоченный государственный орган для регистрации эмиссии и публичного размещения виртуальных активов.</w:t>
      </w:r>
    </w:p>
    <w:p>
      <w:pPr>
        <w:spacing w:after="120"/>
        <w:ind w:firstLine="567"/>
        <w:jc w:val="both"/>
      </w:pPr>
      <w:r>
        <w:rPr>
          <w:rFonts w:ascii="Arial" w:cs="Arial" w:eastAsia="Arial" w:hAnsi="Arial"/>
          <w:sz w:val="24"/>
          <w:szCs w:val="24"/>
        </w:rPr>
        <w:t xml:space="preserve">3-10. Государственная регистрация эмиссии и публичного размещения виртуальных активов до регистрации залогового обеспечения по ним запрещается.</w:t>
      </w:r>
    </w:p>
    <w:p>
      <w:pPr>
        <w:spacing w:after="120"/>
        <w:ind w:firstLine="567"/>
        <w:jc w:val="both"/>
      </w:pPr>
      <w:r>
        <w:rPr>
          <w:rFonts w:ascii="Arial" w:cs="Arial" w:eastAsia="Arial" w:hAnsi="Arial"/>
          <w:sz w:val="24"/>
          <w:szCs w:val="24"/>
        </w:rPr>
        <w:t xml:space="preserve">3-11. В случае неисполнения или ненадлежащего исполнения обязательств эмитентом виртуальных активов перед их владельцами последние имеют право письменно обратиться к управляющему залогом, который обязан не позднее 5 (пять) рабочих дней предпринять следующие действия:</w:t>
      </w:r>
    </w:p>
    <w:p>
      <w:pPr>
        <w:spacing w:after="120"/>
        <w:ind w:firstLine="567"/>
        <w:jc w:val="both"/>
      </w:pPr>
      <w:r>
        <w:rPr>
          <w:rFonts w:ascii="Arial" w:cs="Arial" w:eastAsia="Arial" w:hAnsi="Arial"/>
          <w:sz w:val="24"/>
          <w:szCs w:val="24"/>
        </w:rPr>
        <w:t xml:space="preserve">- обратиться с письменным требованием к эмитенту виртуальных активов о разъяснении текущей ситуации по исполнению эмитентом обязательств и в случае, если исполнение таких обязательств имеет просрочку, в письменном виде заявить эмитенту требование по устранению такой просрочки в срок не позднее 10 (десять) рабочих дней;</w:t>
      </w:r>
    </w:p>
    <w:p>
      <w:pPr>
        <w:spacing w:after="120"/>
        <w:ind w:firstLine="567"/>
        <w:jc w:val="both"/>
      </w:pPr>
      <w:r>
        <w:rPr>
          <w:rFonts w:ascii="Arial" w:cs="Arial" w:eastAsia="Arial" w:hAnsi="Arial"/>
          <w:sz w:val="24"/>
          <w:szCs w:val="24"/>
        </w:rPr>
        <w:t xml:space="preserve">- начать предусмотренные законодательством Кыргызской Республики действия по обращению взыскания на предмет залога, если управляющий залогом в течение 3 (три) рабочих дней не получил от эмитента ответа на заявленное требование о разъяснении текущей ситуации, либо эмитент, которому заявлено требование о погашении просроченной задолженности по виртуальным активам, в 10-дневный срок их не исполнил.</w:t>
      </w:r>
    </w:p>
    <w:p>
      <w:pPr>
        <w:spacing w:after="120"/>
        <w:ind w:firstLine="567"/>
        <w:jc w:val="both"/>
      </w:pPr>
      <w:r>
        <w:rPr>
          <w:rFonts w:ascii="Arial" w:cs="Arial" w:eastAsia="Arial" w:hAnsi="Arial"/>
          <w:sz w:val="24"/>
          <w:szCs w:val="24"/>
        </w:rPr>
        <w:t xml:space="preserve">Управляющий залогом обязан отслеживать ситуацию по исполнению эмитентом виртуальных активов обязательств перед их владельцами и предпринять действия, указанные в настоящем пункте, в случае отсутствия владельцев виртуальных активов по истечении не более 30 (тридцать) календарных дней с даты, когда имело место полное или частичное неисполнение эмитентом виртуальных активов своих обязательств перед их владельцами.";</w:t>
      </w:r>
    </w:p>
    <w:p>
      <w:pPr>
        <w:spacing w:after="120"/>
        <w:ind w:firstLine="567"/>
        <w:jc w:val="both"/>
      </w:pPr>
      <w:r>
        <w:rPr>
          <w:rFonts w:ascii="Arial" w:cs="Arial" w:eastAsia="Arial" w:hAnsi="Arial"/>
          <w:sz w:val="24"/>
          <w:szCs w:val="24"/>
        </w:rPr>
        <w:t xml:space="preserve">- пункты 4, 5 изложить в следующей редакции:</w:t>
      </w:r>
    </w:p>
    <w:p>
      <w:pPr>
        <w:spacing w:after="120"/>
        <w:ind w:firstLine="567"/>
        <w:jc w:val="both"/>
      </w:pPr>
      <w:r>
        <w:rPr>
          <w:rFonts w:ascii="Arial" w:cs="Arial" w:eastAsia="Arial" w:hAnsi="Arial"/>
          <w:sz w:val="24"/>
          <w:szCs w:val="24"/>
        </w:rPr>
        <w:t xml:space="preserve">"4. Процедура эмиссии и публичного размещения виртуальных активов включает следующие этапы:</w:t>
      </w:r>
    </w:p>
    <w:p>
      <w:pPr>
        <w:spacing w:after="120"/>
        <w:ind w:firstLine="567"/>
        <w:jc w:val="both"/>
      </w:pPr>
      <w:r>
        <w:rPr>
          <w:rFonts w:ascii="Arial" w:cs="Arial" w:eastAsia="Arial" w:hAnsi="Arial"/>
          <w:sz w:val="24"/>
          <w:szCs w:val="24"/>
        </w:rPr>
        <w:t xml:space="preserve">1) принятие эмитентом решения о выпуске и размещении виртуальных активов;</w:t>
      </w:r>
    </w:p>
    <w:p>
      <w:pPr>
        <w:spacing w:after="120"/>
        <w:ind w:firstLine="567"/>
        <w:jc w:val="both"/>
      </w:pPr>
      <w:r>
        <w:rPr>
          <w:rFonts w:ascii="Arial" w:cs="Arial" w:eastAsia="Arial" w:hAnsi="Arial"/>
          <w:sz w:val="24"/>
          <w:szCs w:val="24"/>
        </w:rPr>
        <w:t xml:space="preserve">2) утверждение эмитентом белой бумаги (white paper);</w:t>
      </w:r>
    </w:p>
    <w:p>
      <w:pPr>
        <w:spacing w:after="120"/>
        <w:ind w:firstLine="567"/>
        <w:jc w:val="both"/>
      </w:pPr>
      <w:r>
        <w:rPr>
          <w:rFonts w:ascii="Arial" w:cs="Arial" w:eastAsia="Arial" w:hAnsi="Arial"/>
          <w:sz w:val="24"/>
          <w:szCs w:val="24"/>
        </w:rPr>
        <w:t xml:space="preserve">3) государственная регистрация эмиссии и публичного размещения виртуальных активов в уполномоченном государственном органе;</w:t>
      </w:r>
    </w:p>
    <w:p>
      <w:pPr>
        <w:spacing w:after="120"/>
        <w:ind w:firstLine="567"/>
        <w:jc w:val="both"/>
      </w:pPr>
      <w:r>
        <w:rPr>
          <w:rFonts w:ascii="Arial" w:cs="Arial" w:eastAsia="Arial" w:hAnsi="Arial"/>
          <w:sz w:val="24"/>
          <w:szCs w:val="24"/>
        </w:rPr>
        <w:t xml:space="preserve">4) раскрытие информации о публичном предложении виртуальных активов;</w:t>
      </w:r>
    </w:p>
    <w:p>
      <w:pPr>
        <w:spacing w:after="120"/>
        <w:ind w:firstLine="567"/>
        <w:jc w:val="both"/>
      </w:pPr>
      <w:r>
        <w:rPr>
          <w:rFonts w:ascii="Arial" w:cs="Arial" w:eastAsia="Arial" w:hAnsi="Arial"/>
          <w:sz w:val="24"/>
          <w:szCs w:val="24"/>
        </w:rPr>
        <w:t xml:space="preserve">5) размещение виртуальных активов;</w:t>
      </w:r>
    </w:p>
    <w:p>
      <w:pPr>
        <w:spacing w:after="120"/>
        <w:ind w:firstLine="567"/>
        <w:jc w:val="both"/>
      </w:pPr>
      <w:r>
        <w:rPr>
          <w:rFonts w:ascii="Arial" w:cs="Arial" w:eastAsia="Arial" w:hAnsi="Arial"/>
          <w:sz w:val="24"/>
          <w:szCs w:val="24"/>
        </w:rPr>
        <w:t xml:space="preserve">6) признание итогов выпуска виртуальных активов состоявшимися или несостоявшимися.</w:t>
      </w:r>
    </w:p>
    <w:p>
      <w:pPr>
        <w:spacing w:after="120"/>
        <w:ind w:firstLine="567"/>
        <w:jc w:val="both"/>
      </w:pPr>
      <w:r>
        <w:rPr>
          <w:rFonts w:ascii="Arial" w:cs="Arial" w:eastAsia="Arial" w:hAnsi="Arial"/>
          <w:sz w:val="24"/>
          <w:szCs w:val="24"/>
        </w:rPr>
        <w:t xml:space="preserve">5. Решением о выпуске и размещении виртуальных активов должны быть определены:</w:t>
      </w:r>
    </w:p>
    <w:p>
      <w:pPr>
        <w:spacing w:after="120"/>
        <w:ind w:firstLine="567"/>
        <w:jc w:val="both"/>
      </w:pPr>
      <w:r>
        <w:rPr>
          <w:rFonts w:ascii="Arial" w:cs="Arial" w:eastAsia="Arial" w:hAnsi="Arial"/>
          <w:sz w:val="24"/>
          <w:szCs w:val="24"/>
        </w:rPr>
        <w:t xml:space="preserve">1) количество виртуальных активов;</w:t>
      </w:r>
    </w:p>
    <w:p>
      <w:pPr>
        <w:spacing w:after="120"/>
        <w:ind w:firstLine="567"/>
        <w:jc w:val="both"/>
      </w:pPr>
      <w:r>
        <w:rPr>
          <w:rFonts w:ascii="Arial" w:cs="Arial" w:eastAsia="Arial" w:hAnsi="Arial"/>
          <w:sz w:val="24"/>
          <w:szCs w:val="24"/>
        </w:rPr>
        <w:t xml:space="preserve">2) номинальная стоимость одного виртуального актива;</w:t>
      </w:r>
    </w:p>
    <w:p>
      <w:pPr>
        <w:spacing w:after="120"/>
        <w:ind w:firstLine="567"/>
        <w:jc w:val="both"/>
      </w:pPr>
      <w:r>
        <w:rPr>
          <w:rFonts w:ascii="Arial" w:cs="Arial" w:eastAsia="Arial" w:hAnsi="Arial"/>
          <w:sz w:val="24"/>
          <w:szCs w:val="24"/>
        </w:rPr>
        <w:t xml:space="preserve">3) сроки и условия размещения виртуальных активов, в том числе в период предварительной продажи с дисконтом от номинальной стоимости виртуального актива;</w:t>
      </w:r>
    </w:p>
    <w:p>
      <w:pPr>
        <w:spacing w:after="120"/>
        <w:ind w:firstLine="567"/>
        <w:jc w:val="both"/>
      </w:pPr>
      <w:r>
        <w:rPr>
          <w:rFonts w:ascii="Arial" w:cs="Arial" w:eastAsia="Arial" w:hAnsi="Arial"/>
          <w:sz w:val="24"/>
          <w:szCs w:val="24"/>
        </w:rPr>
        <w:t xml:space="preserve">4) условия обращения виртуального актива;</w:t>
      </w:r>
    </w:p>
    <w:p>
      <w:pPr>
        <w:spacing w:after="120"/>
        <w:ind w:firstLine="567"/>
        <w:jc w:val="both"/>
      </w:pPr>
      <w:r>
        <w:rPr>
          <w:rFonts w:ascii="Arial" w:cs="Arial" w:eastAsia="Arial" w:hAnsi="Arial"/>
          <w:sz w:val="24"/>
          <w:szCs w:val="24"/>
        </w:rPr>
        <w:t xml:space="preserve">5) название блокчейна, адрес кошелька эмитента виртуальных активов и смарт-контракта;</w:t>
      </w:r>
    </w:p>
    <w:p>
      <w:pPr>
        <w:spacing w:after="120"/>
        <w:ind w:firstLine="567"/>
        <w:jc w:val="both"/>
      </w:pPr>
      <w:r>
        <w:rPr>
          <w:rFonts w:ascii="Arial" w:cs="Arial" w:eastAsia="Arial" w:hAnsi="Arial"/>
          <w:sz w:val="24"/>
          <w:szCs w:val="24"/>
        </w:rPr>
        <w:t xml:space="preserve">6) сведения о стоимости имущества, выставляемого в обеспечение и залог выпуска виртуальных активов;</w:t>
      </w:r>
    </w:p>
    <w:p>
      <w:pPr>
        <w:spacing w:after="120"/>
        <w:ind w:firstLine="567"/>
        <w:jc w:val="both"/>
      </w:pPr>
      <w:r>
        <w:rPr>
          <w:rFonts w:ascii="Arial" w:cs="Arial" w:eastAsia="Arial" w:hAnsi="Arial"/>
          <w:sz w:val="24"/>
          <w:szCs w:val="24"/>
        </w:rPr>
        <w:t xml:space="preserve">7) сведения об управляющем залогом;</w:t>
      </w:r>
    </w:p>
    <w:p>
      <w:pPr>
        <w:spacing w:after="120"/>
        <w:ind w:firstLine="567"/>
        <w:jc w:val="both"/>
      </w:pPr>
      <w:r>
        <w:rPr>
          <w:rFonts w:ascii="Arial" w:cs="Arial" w:eastAsia="Arial" w:hAnsi="Arial"/>
          <w:sz w:val="24"/>
          <w:szCs w:val="24"/>
        </w:rPr>
        <w:t xml:space="preserve">8) условия об отказе залогодателя от заложенного имущества в пользу владельцев виртуальных активов.</w:t>
      </w:r>
    </w:p>
    <w:p>
      <w:pPr>
        <w:spacing w:after="120"/>
        <w:ind w:firstLine="567"/>
        <w:jc w:val="both"/>
      </w:pPr>
      <w:r>
        <w:rPr>
          <w:rFonts w:ascii="Arial" w:cs="Arial" w:eastAsia="Arial" w:hAnsi="Arial"/>
          <w:sz w:val="24"/>
          <w:szCs w:val="24"/>
        </w:rPr>
        <w:t xml:space="preserve">Решение о выпуске и размещении виртуальных активов оформляется по форме согласно</w:t>
      </w:r>
      <w:r>
        <w:rPr>
          <w:rFonts w:ascii="Arial" w:cs="Arial" w:eastAsia="Arial" w:hAnsi="Arial"/>
          <w:sz w:val="24"/>
          <w:szCs w:val="24"/>
        </w:rPr>
        <w:t xml:space="preserve"> приложению 1</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 в наименовании глав </w:t>
      </w:r>
      <w:r>
        <w:rPr>
          <w:rFonts w:ascii="Arial" w:cs="Arial" w:eastAsia="Arial" w:hAnsi="Arial"/>
          <w:sz w:val="24"/>
          <w:szCs w:val="24"/>
        </w:rPr>
        <w:t xml:space="preserve">3,</w:t>
      </w: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7</w:t>
      </w:r>
      <w:r>
        <w:rPr>
          <w:rFonts w:ascii="Arial" w:cs="Arial" w:eastAsia="Arial" w:hAnsi="Arial"/>
          <w:sz w:val="24"/>
          <w:szCs w:val="24"/>
        </w:rPr>
        <w:t xml:space="preserve">, в пунктах 13, 15-19, 28 слово "выпуска" заменить словами "эмиссии и публ ичного размещения";</w:t>
      </w:r>
    </w:p>
    <w:p>
      <w:pPr>
        <w:spacing w:after="120"/>
        <w:ind w:firstLine="567"/>
        <w:jc w:val="both"/>
      </w:pPr>
      <w:r>
        <w:rPr>
          <w:rFonts w:ascii="Arial" w:cs="Arial" w:eastAsia="Arial" w:hAnsi="Arial"/>
          <w:sz w:val="24"/>
          <w:szCs w:val="24"/>
        </w:rPr>
        <w:t xml:space="preserve">- пункт 8 признать утратившим силу;</w:t>
      </w:r>
    </w:p>
    <w:p>
      <w:pPr>
        <w:spacing w:after="120"/>
        <w:ind w:firstLine="567"/>
        <w:jc w:val="both"/>
      </w:pPr>
      <w:r>
        <w:rPr>
          <w:rFonts w:ascii="Arial" w:cs="Arial" w:eastAsia="Arial" w:hAnsi="Arial"/>
          <w:sz w:val="24"/>
          <w:szCs w:val="24"/>
        </w:rPr>
        <w:t xml:space="preserve">- пункты 9-11 изложить в следующей редакции:</w:t>
      </w:r>
    </w:p>
    <w:p>
      <w:pPr>
        <w:spacing w:after="120"/>
        <w:ind w:firstLine="567"/>
        <w:jc w:val="both"/>
      </w:pPr>
      <w:r>
        <w:rPr>
          <w:rFonts w:ascii="Arial" w:cs="Arial" w:eastAsia="Arial" w:hAnsi="Arial"/>
          <w:sz w:val="24"/>
          <w:szCs w:val="24"/>
        </w:rPr>
        <w:t xml:space="preserve">"9. Для государственной регистрации эмиссии и публичного размещения виртуальных активов эмитент представляет в уполномоченный государственный орган следующие документы:</w:t>
      </w:r>
    </w:p>
    <w:p>
      <w:pPr>
        <w:spacing w:after="120"/>
        <w:ind w:firstLine="567"/>
        <w:jc w:val="both"/>
      </w:pPr>
      <w:r>
        <w:rPr>
          <w:rFonts w:ascii="Arial" w:cs="Arial" w:eastAsia="Arial" w:hAnsi="Arial"/>
          <w:sz w:val="24"/>
          <w:szCs w:val="24"/>
        </w:rPr>
        <w:t xml:space="preserve">1) заявление по форме согласно </w:t>
      </w:r>
      <w:r>
        <w:rPr>
          <w:rFonts w:ascii="Arial" w:cs="Arial" w:eastAsia="Arial" w:hAnsi="Arial"/>
          <w:sz w:val="24"/>
          <w:szCs w:val="24"/>
        </w:rPr>
        <w:t xml:space="preserve">приложению 3</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2) решение о выпуске и размещении виртуальных активов;</w:t>
      </w:r>
    </w:p>
    <w:p>
      <w:pPr>
        <w:spacing w:after="120"/>
        <w:ind w:firstLine="567"/>
        <w:jc w:val="both"/>
      </w:pPr>
      <w:r>
        <w:rPr>
          <w:rFonts w:ascii="Arial" w:cs="Arial" w:eastAsia="Arial" w:hAnsi="Arial"/>
          <w:sz w:val="24"/>
          <w:szCs w:val="24"/>
        </w:rPr>
        <w:t xml:space="preserve">3) белая бумага (white paper) в 3 экземплярах;</w:t>
      </w:r>
    </w:p>
    <w:p>
      <w:pPr>
        <w:spacing w:after="120"/>
        <w:ind w:firstLine="567"/>
        <w:jc w:val="both"/>
      </w:pPr>
      <w:r>
        <w:rPr>
          <w:rFonts w:ascii="Arial" w:cs="Arial" w:eastAsia="Arial" w:hAnsi="Arial"/>
          <w:sz w:val="24"/>
          <w:szCs w:val="24"/>
        </w:rPr>
        <w:t xml:space="preserve">4) название блокчейна, адрес кошелька виртуальных активов эмитента и смарт-контракта в электронной форме;</w:t>
      </w:r>
    </w:p>
    <w:p>
      <w:pPr>
        <w:spacing w:after="120"/>
        <w:ind w:firstLine="567"/>
        <w:jc w:val="both"/>
      </w:pPr>
      <w:r>
        <w:rPr>
          <w:rFonts w:ascii="Arial" w:cs="Arial" w:eastAsia="Arial" w:hAnsi="Arial"/>
          <w:sz w:val="24"/>
          <w:szCs w:val="24"/>
        </w:rPr>
        <w:t xml:space="preserve">5) копия документа, подтверждающего регистрацию эмитента в качестве юридического лица (для эмитента - юридического лица);</w:t>
      </w:r>
    </w:p>
    <w:p>
      <w:pPr>
        <w:spacing w:after="120"/>
        <w:ind w:firstLine="567"/>
        <w:jc w:val="both"/>
      </w:pPr>
      <w:r>
        <w:rPr>
          <w:rFonts w:ascii="Arial" w:cs="Arial" w:eastAsia="Arial" w:hAnsi="Arial"/>
          <w:sz w:val="24"/>
          <w:szCs w:val="24"/>
        </w:rPr>
        <w:t xml:space="preserve">6) копии учредительных документов (для эмитента - юридического лица);</w:t>
      </w:r>
    </w:p>
    <w:p>
      <w:pPr>
        <w:spacing w:after="120"/>
        <w:ind w:firstLine="567"/>
        <w:jc w:val="both"/>
      </w:pPr>
      <w:r>
        <w:rPr>
          <w:rFonts w:ascii="Arial" w:cs="Arial" w:eastAsia="Arial" w:hAnsi="Arial"/>
          <w:sz w:val="24"/>
          <w:szCs w:val="24"/>
        </w:rPr>
        <w:t xml:space="preserve">7) копия паспорта (для эмитента - физического лица);</w:t>
      </w:r>
    </w:p>
    <w:p>
      <w:pPr>
        <w:spacing w:after="120"/>
        <w:ind w:firstLine="567"/>
        <w:jc w:val="both"/>
      </w:pPr>
      <w:r>
        <w:rPr>
          <w:rFonts w:ascii="Arial" w:cs="Arial" w:eastAsia="Arial" w:hAnsi="Arial"/>
          <w:sz w:val="24"/>
          <w:szCs w:val="24"/>
        </w:rPr>
        <w:t xml:space="preserve">8) документ, подтверждающий оплату регистрационного сбора;</w:t>
      </w:r>
    </w:p>
    <w:p>
      <w:pPr>
        <w:spacing w:after="120"/>
        <w:ind w:firstLine="567"/>
        <w:jc w:val="both"/>
      </w:pPr>
      <w:r>
        <w:rPr>
          <w:rFonts w:ascii="Arial" w:cs="Arial" w:eastAsia="Arial" w:hAnsi="Arial"/>
          <w:sz w:val="24"/>
          <w:szCs w:val="24"/>
        </w:rPr>
        <w:t xml:space="preserve">9) документы, подтверждающие наличие обеспечения исполнения обязательств эмитента;</w:t>
      </w:r>
    </w:p>
    <w:p>
      <w:pPr>
        <w:spacing w:after="120"/>
        <w:ind w:firstLine="567"/>
        <w:jc w:val="both"/>
      </w:pPr>
      <w:r>
        <w:rPr>
          <w:rFonts w:ascii="Arial" w:cs="Arial" w:eastAsia="Arial" w:hAnsi="Arial"/>
          <w:sz w:val="24"/>
          <w:szCs w:val="24"/>
        </w:rPr>
        <w:t xml:space="preserve">10) копия оценки независимым оценщиком имущества, являющегося предметом обеспечения и/или залога по виртуальным активам;</w:t>
      </w:r>
    </w:p>
    <w:p>
      <w:pPr>
        <w:spacing w:after="120"/>
        <w:ind w:firstLine="567"/>
        <w:jc w:val="both"/>
      </w:pPr>
      <w:r>
        <w:rPr>
          <w:rFonts w:ascii="Arial" w:cs="Arial" w:eastAsia="Arial" w:hAnsi="Arial"/>
          <w:sz w:val="24"/>
          <w:szCs w:val="24"/>
        </w:rPr>
        <w:t xml:space="preserve">11) документ, подтверждающий регистрацию залогового обеспечения;</w:t>
      </w:r>
    </w:p>
    <w:p>
      <w:pPr>
        <w:spacing w:after="120"/>
        <w:ind w:firstLine="567"/>
        <w:jc w:val="both"/>
      </w:pPr>
      <w:r>
        <w:rPr>
          <w:rFonts w:ascii="Arial" w:cs="Arial" w:eastAsia="Arial" w:hAnsi="Arial"/>
          <w:sz w:val="24"/>
          <w:szCs w:val="24"/>
        </w:rPr>
        <w:t xml:space="preserve">12) копия договора об управлении залогом;</w:t>
      </w:r>
    </w:p>
    <w:p>
      <w:pPr>
        <w:spacing w:after="120"/>
        <w:ind w:firstLine="567"/>
        <w:jc w:val="both"/>
      </w:pPr>
      <w:r>
        <w:rPr>
          <w:rFonts w:ascii="Arial" w:cs="Arial" w:eastAsia="Arial" w:hAnsi="Arial"/>
          <w:sz w:val="24"/>
          <w:szCs w:val="24"/>
        </w:rPr>
        <w:t xml:space="preserve">13) заполненные и подписанные эмитентом или учредителями/акционерами эмитента анкеты согласно приложениям 4, 5 к настоящему Положению либо сканированные копии заполненных анкет с последующим представлением оригинала.</w:t>
      </w:r>
    </w:p>
    <w:p>
      <w:pPr>
        <w:spacing w:after="120"/>
        <w:ind w:firstLine="567"/>
        <w:jc w:val="both"/>
      </w:pPr>
      <w:r>
        <w:rPr>
          <w:rFonts w:ascii="Arial" w:cs="Arial" w:eastAsia="Arial" w:hAnsi="Arial"/>
          <w:sz w:val="24"/>
          <w:szCs w:val="24"/>
        </w:rPr>
        <w:t xml:space="preserve">10. Уполномоченный государственный орган регистрирует эмиссию и публичное размещение виртуальных активов или принимает мотивированное решение об отказе в государственной регистрации эмиссии и публичного размещения виртуальных активов не позднее чем через 20 (двадцать) рабочих дней со дня получения документов для государственной регистрации эмиссии и публичного размещения виртуальных активов.</w:t>
      </w:r>
    </w:p>
    <w:p>
      <w:pPr>
        <w:spacing w:after="120"/>
        <w:ind w:firstLine="567"/>
        <w:jc w:val="both"/>
      </w:pPr>
      <w:r>
        <w:rPr>
          <w:rFonts w:ascii="Arial" w:cs="Arial" w:eastAsia="Arial" w:hAnsi="Arial"/>
          <w:sz w:val="24"/>
          <w:szCs w:val="24"/>
        </w:rPr>
        <w:t xml:space="preserve">11. В случае принятия решения о государственной регистрации эмиссии и публичного размещения виртуальных активов эмитенту выдается решение уполномоченного государственного органа о государственной регистрации эмиссии и публичного размещения виртуальных активов и два экземпляра зарегистрированной белой бумаги (white paper).";</w:t>
      </w:r>
    </w:p>
    <w:p>
      <w:pPr>
        <w:spacing w:after="120"/>
        <w:ind w:firstLine="567"/>
        <w:jc w:val="both"/>
      </w:pPr>
      <w:r>
        <w:rPr>
          <w:rFonts w:ascii="Arial" w:cs="Arial" w:eastAsia="Arial" w:hAnsi="Arial"/>
          <w:sz w:val="24"/>
          <w:szCs w:val="24"/>
        </w:rPr>
        <w:t xml:space="preserve">- в пункте 17:</w:t>
      </w:r>
    </w:p>
    <w:p>
      <w:pPr>
        <w:spacing w:after="120"/>
        <w:ind w:firstLine="567"/>
        <w:jc w:val="both"/>
      </w:pPr>
      <w:r>
        <w:rPr>
          <w:rFonts w:ascii="Arial" w:cs="Arial" w:eastAsia="Arial" w:hAnsi="Arial"/>
          <w:sz w:val="24"/>
          <w:szCs w:val="24"/>
        </w:rPr>
        <w:t xml:space="preserve">абзац второй после слова "эмиссии" дополнить словами "и публичного размещения";</w:t>
      </w:r>
    </w:p>
    <w:p>
      <w:pPr>
        <w:spacing w:after="120"/>
        <w:ind w:firstLine="567"/>
        <w:jc w:val="both"/>
      </w:pPr>
      <w:r>
        <w:rPr>
          <w:rFonts w:ascii="Arial" w:cs="Arial" w:eastAsia="Arial" w:hAnsi="Arial"/>
          <w:sz w:val="24"/>
          <w:szCs w:val="24"/>
        </w:rPr>
        <w:t xml:space="preserve">в абзаце третьем слова "об эмиссии" заменить словами "о выпуске и размещении";</w:t>
      </w:r>
    </w:p>
    <w:p>
      <w:pPr>
        <w:spacing w:after="120"/>
        <w:ind w:firstLine="567"/>
        <w:jc w:val="both"/>
      </w:pPr>
      <w:r>
        <w:rPr>
          <w:rFonts w:ascii="Arial" w:cs="Arial" w:eastAsia="Arial" w:hAnsi="Arial"/>
          <w:sz w:val="24"/>
          <w:szCs w:val="24"/>
        </w:rPr>
        <w:t xml:space="preserve">- пункт 20 изложить в следующей редакции:</w:t>
      </w:r>
    </w:p>
    <w:p>
      <w:pPr>
        <w:spacing w:after="120"/>
        <w:ind w:firstLine="567"/>
        <w:jc w:val="both"/>
      </w:pPr>
      <w:r>
        <w:rPr>
          <w:rFonts w:ascii="Arial" w:cs="Arial" w:eastAsia="Arial" w:hAnsi="Arial"/>
          <w:sz w:val="24"/>
          <w:szCs w:val="24"/>
        </w:rPr>
        <w:t xml:space="preserve">"20. Виртуальные активы могут публично предлагаться в течение срока, установленного в белой бумаге (white paper).";</w:t>
      </w:r>
    </w:p>
    <w:p>
      <w:pPr>
        <w:spacing w:after="120"/>
        <w:ind w:firstLine="567"/>
        <w:jc w:val="both"/>
      </w:pPr>
      <w:r>
        <w:rPr>
          <w:rFonts w:ascii="Arial" w:cs="Arial" w:eastAsia="Arial" w:hAnsi="Arial"/>
          <w:sz w:val="24"/>
          <w:szCs w:val="24"/>
        </w:rPr>
        <w:t xml:space="preserve">- пункты 26, 27 изложить в следующей редакции:</w:t>
      </w:r>
    </w:p>
    <w:p>
      <w:pPr>
        <w:spacing w:after="120"/>
        <w:ind w:firstLine="567"/>
        <w:jc w:val="both"/>
      </w:pPr>
      <w:r>
        <w:rPr>
          <w:rFonts w:ascii="Arial" w:cs="Arial" w:eastAsia="Arial" w:hAnsi="Arial"/>
          <w:sz w:val="24"/>
          <w:szCs w:val="24"/>
        </w:rPr>
        <w:t xml:space="preserve">"26. За государственную регистрацию эмиссии и публичного размещения виртуальных активов взимается сбор (регистрационный сбор) в размере 0,01 процента от общей номинальной стоимости всех виртуальных активов данного выпуска по курсу на криптобиржах на момент оплаты при условии наличия торгов и котировок по данному виртуальному активу.</w:t>
      </w:r>
    </w:p>
    <w:p>
      <w:pPr>
        <w:spacing w:after="120"/>
        <w:ind w:firstLine="567"/>
        <w:jc w:val="both"/>
      </w:pPr>
      <w:r>
        <w:rPr>
          <w:rFonts w:ascii="Arial" w:cs="Arial" w:eastAsia="Arial" w:hAnsi="Arial"/>
          <w:sz w:val="24"/>
          <w:szCs w:val="24"/>
        </w:rPr>
        <w:t xml:space="preserve">27. При отсутствии торгов и котировок по данному виртуальному активу на криптобиржах за государственную регистрацию эмиссии и публичное размещение виртуальных активов взимается сбор в размере 0,01 процента от общей номинальной стоимости всех виртуальных активов данного выпуска, заявленной эмитентом виртуальных активов.";</w:t>
      </w:r>
    </w:p>
    <w:p>
      <w:pPr>
        <w:spacing w:after="120"/>
        <w:ind w:firstLine="567"/>
        <w:jc w:val="both"/>
      </w:pPr>
      <w:r>
        <w:rPr>
          <w:rFonts w:ascii="Arial" w:cs="Arial" w:eastAsia="Arial" w:hAnsi="Arial"/>
          <w:sz w:val="24"/>
          <w:szCs w:val="24"/>
        </w:rPr>
        <w:t xml:space="preserve">- в абзаце первом пункта 31 слова "приложению 4" заменить словами "приложению 6";</w:t>
      </w:r>
    </w:p>
    <w:p>
      <w:pPr>
        <w:spacing w:after="120"/>
        <w:ind w:firstLine="567"/>
        <w:jc w:val="both"/>
      </w:pPr>
      <w:r>
        <w:rPr>
          <w:rFonts w:ascii="Arial" w:cs="Arial" w:eastAsia="Arial" w:hAnsi="Arial"/>
          <w:sz w:val="24"/>
          <w:szCs w:val="24"/>
        </w:rPr>
        <w:t xml:space="preserve">- в абзаце третьем пункта 32 слова "выпуска и размещения" заменить словами "эмиссии и/или публичного размещения";</w:t>
      </w:r>
    </w:p>
    <w:p>
      <w:pPr>
        <w:spacing w:after="120"/>
        <w:ind w:firstLine="567"/>
        <w:jc w:val="both"/>
      </w:pPr>
      <w:r>
        <w:rPr>
          <w:rFonts w:ascii="Arial" w:cs="Arial" w:eastAsia="Arial" w:hAnsi="Arial"/>
          <w:sz w:val="24"/>
          <w:szCs w:val="24"/>
        </w:rPr>
        <w:t xml:space="preserve">- приложения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r>
        <w:rPr>
          <w:rFonts w:ascii="Arial" w:cs="Arial" w:eastAsia="Arial" w:hAnsi="Arial"/>
          <w:sz w:val="24"/>
          <w:szCs w:val="24"/>
        </w:rPr>
        <w:t xml:space="preserve"> к вышеуказанному Положению изложить в редакции согласно приложениям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r>
        <w:rPr>
          <w:rFonts w:ascii="Arial" w:cs="Arial" w:eastAsia="Arial" w:hAnsi="Arial"/>
          <w:sz w:val="24"/>
          <w:szCs w:val="24"/>
        </w:rPr>
        <w:t xml:space="preserve"> к настоящему постановлению;</w:t>
      </w:r>
    </w:p>
    <w:p>
      <w:pPr>
        <w:spacing w:after="120"/>
        <w:ind w:firstLine="567"/>
        <w:jc w:val="both"/>
      </w:pPr>
      <w:r>
        <w:rPr>
          <w:rFonts w:ascii="Arial" w:cs="Arial" w:eastAsia="Arial" w:hAnsi="Arial"/>
          <w:sz w:val="24"/>
          <w:szCs w:val="24"/>
        </w:rPr>
        <w:t xml:space="preserve">- в наименовании </w:t>
      </w:r>
      <w:r>
        <w:rPr>
          <w:rFonts w:ascii="Arial" w:cs="Arial" w:eastAsia="Arial" w:hAnsi="Arial"/>
          <w:sz w:val="24"/>
          <w:szCs w:val="24"/>
        </w:rPr>
        <w:t xml:space="preserve">приложения 3</w:t>
      </w:r>
      <w:r>
        <w:rPr>
          <w:rFonts w:ascii="Arial" w:cs="Arial" w:eastAsia="Arial" w:hAnsi="Arial"/>
          <w:sz w:val="24"/>
          <w:szCs w:val="24"/>
        </w:rPr>
        <w:t xml:space="preserve"> к вышеуказанному Положению слово "выпуска" заменить словами "эмиссии и публичного размещения";</w:t>
      </w:r>
    </w:p>
    <w:p>
      <w:pPr>
        <w:spacing w:after="12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приложения 6</w:t>
      </w:r>
      <w:r>
        <w:rPr>
          <w:rFonts w:ascii="Arial" w:cs="Arial" w:eastAsia="Arial" w:hAnsi="Arial"/>
          <w:sz w:val="24"/>
          <w:szCs w:val="24"/>
        </w:rPr>
        <w:t xml:space="preserve"> к вышеуказанному Положению изложить в следующей редакции: "Уведомление об итогах эмиссии и/или публичного размещения виртуальных активов";</w:t>
      </w:r>
    </w:p>
    <w:p>
      <w:pPr>
        <w:spacing w:after="120"/>
        <w:ind w:firstLine="567"/>
        <w:jc w:val="both"/>
      </w:pPr>
      <w:r>
        <w:rPr>
          <w:rFonts w:ascii="Arial" w:cs="Arial" w:eastAsia="Arial" w:hAnsi="Arial"/>
          <w:sz w:val="24"/>
          <w:szCs w:val="24"/>
        </w:rPr>
        <w:t xml:space="preserve">4) в </w:t>
      </w:r>
      <w:r>
        <w:rPr>
          <w:rFonts w:ascii="Arial" w:cs="Arial" w:eastAsia="Arial" w:hAnsi="Arial"/>
          <w:sz w:val="24"/>
          <w:szCs w:val="24"/>
        </w:rPr>
        <w:t xml:space="preserve">Положении </w:t>
      </w:r>
      <w:r>
        <w:rPr>
          <w:rFonts w:ascii="Arial" w:cs="Arial" w:eastAsia="Arial" w:hAnsi="Arial"/>
          <w:sz w:val="24"/>
          <w:szCs w:val="24"/>
        </w:rPr>
        <w:t xml:space="preserve">о деятельности оператора обмена виртуальных активов и ведении Реестра операторов обмена виртуальных активов, утвержденном вышеуказанным </w:t>
      </w:r>
      <w:hyperlink w:history="1" r:id="rIdlct-fvx2exxpean7vabq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абзац третий пункта 1 признать утратившим силу;</w:t>
      </w:r>
    </w:p>
    <w:p>
      <w:pPr>
        <w:spacing w:after="120"/>
        <w:ind w:firstLine="567"/>
        <w:jc w:val="both"/>
      </w:pPr>
      <w:r>
        <w:rPr>
          <w:rFonts w:ascii="Arial" w:cs="Arial" w:eastAsia="Arial" w:hAnsi="Arial"/>
          <w:sz w:val="24"/>
          <w:szCs w:val="24"/>
        </w:rPr>
        <w:t xml:space="preserve">- в пункте 2:</w:t>
      </w:r>
    </w:p>
    <w:p>
      <w:pPr>
        <w:spacing w:after="120"/>
        <w:ind w:firstLine="567"/>
        <w:jc w:val="both"/>
      </w:pPr>
      <w:r>
        <w:rPr>
          <w:rFonts w:ascii="Arial" w:cs="Arial" w:eastAsia="Arial" w:hAnsi="Arial"/>
          <w:sz w:val="24"/>
          <w:szCs w:val="24"/>
        </w:rPr>
        <w:t xml:space="preserve">абзац третий изложить в следующей редакции:</w:t>
      </w:r>
    </w:p>
    <w:p>
      <w:pPr>
        <w:spacing w:after="120"/>
        <w:ind w:firstLine="567"/>
        <w:jc w:val="both"/>
      </w:pPr>
      <w:r>
        <w:rPr>
          <w:rFonts w:ascii="Arial" w:cs="Arial" w:eastAsia="Arial" w:hAnsi="Arial"/>
          <w:sz w:val="24"/>
          <w:szCs w:val="24"/>
        </w:rPr>
        <w:t xml:space="preserve">"клиенты - контрагенты (физические и юридические лица) оператора обмена виртуальных активов, с которыми он вступил в договорные (в том числе на основании публичной оферты) взаимоотношения и совершает сделки (операции), предусмотренные в его бизнес-проекте (основной политике), либо которые обратились к нему за совершением таких сделок (операций);";</w:t>
      </w:r>
    </w:p>
    <w:p>
      <w:pPr>
        <w:spacing w:after="120"/>
        <w:ind w:firstLine="567"/>
        <w:jc w:val="both"/>
      </w:pPr>
      <w:r>
        <w:rPr>
          <w:rFonts w:ascii="Arial" w:cs="Arial" w:eastAsia="Arial" w:hAnsi="Arial"/>
          <w:sz w:val="24"/>
          <w:szCs w:val="24"/>
        </w:rPr>
        <w:t xml:space="preserve">дополнить абзацами следующего содержания:</w:t>
      </w:r>
    </w:p>
    <w:p>
      <w:pPr>
        <w:spacing w:after="120"/>
        <w:ind w:firstLine="567"/>
        <w:jc w:val="both"/>
      </w:pPr>
      <w:r>
        <w:rPr>
          <w:rFonts w:ascii="Arial" w:cs="Arial" w:eastAsia="Arial" w:hAnsi="Arial"/>
          <w:sz w:val="24"/>
          <w:szCs w:val="24"/>
        </w:rPr>
        <w:t xml:space="preserve">"верификация - процедура проверки идентификационных данных клиента и (или) бенефициарного владельца;</w:t>
      </w:r>
    </w:p>
    <w:p>
      <w:pPr>
        <w:spacing w:after="120"/>
        <w:ind w:firstLine="567"/>
        <w:jc w:val="both"/>
      </w:pPr>
      <w:r>
        <w:rPr>
          <w:rFonts w:ascii="Arial" w:cs="Arial" w:eastAsia="Arial" w:hAnsi="Arial"/>
          <w:sz w:val="24"/>
          <w:szCs w:val="24"/>
        </w:rPr>
        <w:t xml:space="preserve">идентификация - процедура установления идентификационных данных о клиенте и (или) бенефициарном владельце;</w:t>
      </w:r>
    </w:p>
    <w:p>
      <w:pPr>
        <w:spacing w:after="120"/>
        <w:ind w:firstLine="567"/>
        <w:jc w:val="both"/>
      </w:pPr>
      <w:r>
        <w:rPr>
          <w:rFonts w:ascii="Arial" w:cs="Arial" w:eastAsia="Arial" w:hAnsi="Arial"/>
          <w:sz w:val="24"/>
          <w:szCs w:val="24"/>
        </w:rPr>
        <w:t xml:space="preserve">крипто-банкомат - автоматизированная система обмена фиатных средств и виртуальных активов.";</w:t>
      </w:r>
    </w:p>
    <w:p>
      <w:pPr>
        <w:spacing w:after="12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главы 2</w:t>
      </w:r>
      <w:r>
        <w:rPr>
          <w:rFonts w:ascii="Arial" w:cs="Arial" w:eastAsia="Arial" w:hAnsi="Arial"/>
          <w:sz w:val="24"/>
          <w:szCs w:val="24"/>
        </w:rPr>
        <w:t xml:space="preserve"> после слов "акционерам/учредителям/участникам" дополнить словами ", бенефициарным владельцам и должностным лицам";</w:t>
      </w:r>
    </w:p>
    <w:p>
      <w:pPr>
        <w:spacing w:after="120"/>
        <w:ind w:firstLine="567"/>
        <w:jc w:val="both"/>
      </w:pPr>
      <w:r>
        <w:rPr>
          <w:rFonts w:ascii="Arial" w:cs="Arial" w:eastAsia="Arial" w:hAnsi="Arial"/>
          <w:sz w:val="24"/>
          <w:szCs w:val="24"/>
        </w:rPr>
        <w:t xml:space="preserve">- пункты 5, 6 изложить в следующей редакции:</w:t>
      </w:r>
    </w:p>
    <w:p>
      <w:pPr>
        <w:spacing w:after="120"/>
        <w:ind w:firstLine="567"/>
        <w:jc w:val="both"/>
      </w:pPr>
      <w:r>
        <w:rPr>
          <w:rFonts w:ascii="Arial" w:cs="Arial" w:eastAsia="Arial" w:hAnsi="Arial"/>
          <w:sz w:val="24"/>
          <w:szCs w:val="24"/>
        </w:rPr>
        <w:t xml:space="preserve">"5. Акционерами/учредителями/участниками, бенефициарными владельцами и должностными лицами оператора обмена виртуальных активов могут быть физические и юридические лица, резиденты/нерезиденты Кыргызской Республики.</w:t>
      </w:r>
    </w:p>
    <w:p>
      <w:pPr>
        <w:spacing w:after="120"/>
        <w:ind w:firstLine="567"/>
        <w:jc w:val="both"/>
      </w:pPr>
      <w:r>
        <w:rPr>
          <w:rFonts w:ascii="Arial" w:cs="Arial" w:eastAsia="Arial" w:hAnsi="Arial"/>
          <w:sz w:val="24"/>
          <w:szCs w:val="24"/>
        </w:rPr>
        <w:t xml:space="preserve">Сведения об акционерах/учредителях/участниках, бенефициарных владельцах и должностных лицах юридического лица должны быть представлены в анкете, согласно приложениям </w:t>
      </w:r>
      <w:r>
        <w:rPr>
          <w:rFonts w:ascii="Arial" w:cs="Arial" w:eastAsia="Arial" w:hAnsi="Arial"/>
          <w:sz w:val="24"/>
          <w:szCs w:val="24"/>
        </w:rPr>
        <w:t xml:space="preserve">1</w:t>
      </w:r>
      <w:r>
        <w:rPr>
          <w:rFonts w:ascii="Arial" w:cs="Arial" w:eastAsia="Arial" w:hAnsi="Arial"/>
          <w:sz w:val="24"/>
          <w:szCs w:val="24"/>
        </w:rPr>
        <w:t xml:space="preserve">, 2</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6. Не могут быть акционерами/учредителями/участниками, бенефициарными владельцами и должностными лицами оператора обмена виртуальных активов:</w:t>
      </w:r>
    </w:p>
    <w:p>
      <w:pPr>
        <w:spacing w:after="120"/>
        <w:ind w:firstLine="567"/>
        <w:jc w:val="both"/>
      </w:pPr>
      <w:r>
        <w:rPr>
          <w:rFonts w:ascii="Arial" w:cs="Arial" w:eastAsia="Arial" w:hAnsi="Arial"/>
          <w:sz w:val="24"/>
          <w:szCs w:val="24"/>
        </w:rPr>
        <w:t xml:space="preserve">- физические лица, постоянно проживающие в оффшорной зоне, и (или) юридические лица - нерезиденты, зарегистрированные в ней;</w:t>
      </w:r>
    </w:p>
    <w:p>
      <w:pPr>
        <w:spacing w:after="120"/>
        <w:ind w:firstLine="567"/>
        <w:jc w:val="both"/>
      </w:pPr>
      <w:r>
        <w:rPr>
          <w:rFonts w:ascii="Arial" w:cs="Arial" w:eastAsia="Arial" w:hAnsi="Arial"/>
          <w:sz w:val="24"/>
          <w:szCs w:val="24"/>
        </w:rPr>
        <w:t xml:space="preserve">- юридические и физические лица, имеющие счета в банках, расположенных в оффшорных зонах;</w:t>
      </w:r>
    </w:p>
    <w:p>
      <w:pPr>
        <w:spacing w:after="120"/>
        <w:ind w:firstLine="567"/>
        <w:jc w:val="both"/>
      </w:pPr>
      <w:r>
        <w:rPr>
          <w:rFonts w:ascii="Arial" w:cs="Arial" w:eastAsia="Arial" w:hAnsi="Arial"/>
          <w:sz w:val="24"/>
          <w:szCs w:val="24"/>
        </w:rPr>
        <w:t xml:space="preserve">- юридические лица, если их акционер (участник) является физическим лицом, постоянно проживающим в оффшорной зоне;</w:t>
      </w:r>
    </w:p>
    <w:p>
      <w:pPr>
        <w:spacing w:after="120"/>
        <w:ind w:firstLine="567"/>
        <w:jc w:val="both"/>
      </w:pPr>
      <w:r>
        <w:rPr>
          <w:rFonts w:ascii="Arial" w:cs="Arial" w:eastAsia="Arial" w:hAnsi="Arial"/>
          <w:sz w:val="24"/>
          <w:szCs w:val="24"/>
        </w:rPr>
        <w:t xml:space="preserve">- политические партии, профсоюзы и религиозные организации;</w:t>
      </w:r>
    </w:p>
    <w:p>
      <w:pPr>
        <w:spacing w:after="120"/>
        <w:ind w:firstLine="567"/>
        <w:jc w:val="both"/>
      </w:pPr>
      <w:r>
        <w:rPr>
          <w:rFonts w:ascii="Arial" w:cs="Arial" w:eastAsia="Arial" w:hAnsi="Arial"/>
          <w:sz w:val="24"/>
          <w:szCs w:val="24"/>
        </w:rPr>
        <w:t xml:space="preserve">- юридические и физические лица, включенные в санкционный перечень, определенный законодательством в сфере противодействия финансированию террористической деятельности и легализации (отмыванию) преступных доходов, а также противодействия финансированию экстремистской деятельности и финансированию распространения оружия массового уничтожения;</w:t>
      </w:r>
    </w:p>
    <w:p>
      <w:pPr>
        <w:spacing w:after="120"/>
        <w:ind w:firstLine="567"/>
        <w:jc w:val="both"/>
      </w:pPr>
      <w:r>
        <w:rPr>
          <w:rFonts w:ascii="Arial" w:cs="Arial" w:eastAsia="Arial" w:hAnsi="Arial"/>
          <w:sz w:val="24"/>
          <w:szCs w:val="24"/>
        </w:rPr>
        <w:t xml:space="preserve">- юридические и физические лица, в отношении которых имеется негативная информация на основании сведений, предоставляемых государственными органами, осуществляющими борьбу с терроризмом и экстремизмом, незаконным оборотом наркотических и психотропных средств, распространением оружия массового уничтожения, и другими компетентными органами Кыргызской Республики, а также сведений, полученных по официальным каналам от компетентных органов иностранных государств и международных организаций;</w:t>
      </w:r>
    </w:p>
    <w:p>
      <w:pPr>
        <w:spacing w:after="120"/>
        <w:ind w:firstLine="567"/>
        <w:jc w:val="both"/>
      </w:pPr>
      <w:r>
        <w:rPr>
          <w:rFonts w:ascii="Arial" w:cs="Arial" w:eastAsia="Arial" w:hAnsi="Arial"/>
          <w:sz w:val="24"/>
          <w:szCs w:val="24"/>
        </w:rPr>
        <w:t xml:space="preserve">- лица, имеющие непогашенную судимость, в том числе в других государствах;</w:t>
      </w:r>
    </w:p>
    <w:p>
      <w:pPr>
        <w:spacing w:after="120"/>
        <w:ind w:firstLine="567"/>
        <w:jc w:val="both"/>
      </w:pPr>
      <w:r>
        <w:rPr>
          <w:rFonts w:ascii="Arial" w:cs="Arial" w:eastAsia="Arial" w:hAnsi="Arial"/>
          <w:sz w:val="24"/>
          <w:szCs w:val="24"/>
        </w:rPr>
        <w:t xml:space="preserve">- лица, имеющие неисполненное судебное решение по уплате своих финансовых обязательств.";</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главу 2 </w:t>
      </w:r>
      <w:r>
        <w:rPr>
          <w:rFonts w:ascii="Arial" w:cs="Arial" w:eastAsia="Arial" w:hAnsi="Arial"/>
          <w:sz w:val="24"/>
          <w:szCs w:val="24"/>
        </w:rPr>
        <w:t xml:space="preserve">дополнить пунктом 6-1 следующего содержания:</w:t>
      </w:r>
    </w:p>
    <w:p>
      <w:pPr>
        <w:spacing w:after="120"/>
        <w:ind w:firstLine="567"/>
        <w:jc w:val="both"/>
      </w:pPr>
      <w:r>
        <w:rPr>
          <w:rFonts w:ascii="Arial" w:cs="Arial" w:eastAsia="Arial" w:hAnsi="Arial"/>
          <w:sz w:val="24"/>
          <w:szCs w:val="24"/>
        </w:rPr>
        <w:t xml:space="preserve">"6-1. Должностные лица оператора обмена виртуальных активов подлежат обязательному согласованию с уполномоченным органом.</w:t>
      </w:r>
    </w:p>
    <w:p>
      <w:pPr>
        <w:spacing w:after="120"/>
        <w:ind w:firstLine="567"/>
        <w:jc w:val="both"/>
      </w:pPr>
      <w:r>
        <w:rPr>
          <w:rFonts w:ascii="Arial" w:cs="Arial" w:eastAsia="Arial" w:hAnsi="Arial"/>
          <w:sz w:val="24"/>
          <w:szCs w:val="24"/>
        </w:rPr>
        <w:t xml:space="preserve">Должностными лицами оператора обмена виртуальных активов, кандидатуры которых подлежат согласованию, являются:</w:t>
      </w:r>
    </w:p>
    <w:p>
      <w:pPr>
        <w:spacing w:after="120"/>
        <w:ind w:firstLine="567"/>
        <w:jc w:val="both"/>
      </w:pPr>
      <w:r>
        <w:rPr>
          <w:rFonts w:ascii="Arial" w:cs="Arial" w:eastAsia="Arial" w:hAnsi="Arial"/>
          <w:sz w:val="24"/>
          <w:szCs w:val="24"/>
        </w:rPr>
        <w:t xml:space="preserve">- руководитель и члены совета директоров (при наличии);</w:t>
      </w:r>
    </w:p>
    <w:p>
      <w:pPr>
        <w:spacing w:after="120"/>
        <w:ind w:firstLine="567"/>
        <w:jc w:val="both"/>
      </w:pPr>
      <w:r>
        <w:rPr>
          <w:rFonts w:ascii="Arial" w:cs="Arial" w:eastAsia="Arial" w:hAnsi="Arial"/>
          <w:sz w:val="24"/>
          <w:szCs w:val="24"/>
        </w:rPr>
        <w:t xml:space="preserve">- руководитель (лицо, единолично осуществляющее функции исполнительного органа) и члены исполнительного органа;</w:t>
      </w:r>
    </w:p>
    <w:p>
      <w:pPr>
        <w:spacing w:after="120"/>
        <w:ind w:firstLine="567"/>
        <w:jc w:val="both"/>
      </w:pPr>
      <w:r>
        <w:rPr>
          <w:rFonts w:ascii="Arial" w:cs="Arial" w:eastAsia="Arial" w:hAnsi="Arial"/>
          <w:sz w:val="24"/>
          <w:szCs w:val="24"/>
        </w:rPr>
        <w:t xml:space="preserve">- главный бухгалтер или единственный бухгалтер;</w:t>
      </w:r>
    </w:p>
    <w:p>
      <w:pPr>
        <w:spacing w:after="120"/>
        <w:ind w:firstLine="567"/>
        <w:jc w:val="both"/>
      </w:pPr>
      <w:r>
        <w:rPr>
          <w:rFonts w:ascii="Arial" w:cs="Arial" w:eastAsia="Arial" w:hAnsi="Arial"/>
          <w:sz w:val="24"/>
          <w:szCs w:val="24"/>
        </w:rPr>
        <w:t xml:space="preserve">- уполномоченный сотрудник или директор по рискам и комплаенсу.</w:t>
      </w:r>
    </w:p>
    <w:p>
      <w:pPr>
        <w:spacing w:after="120"/>
        <w:ind w:firstLine="567"/>
        <w:jc w:val="both"/>
      </w:pPr>
      <w:r>
        <w:rPr>
          <w:rFonts w:ascii="Arial" w:cs="Arial" w:eastAsia="Arial" w:hAnsi="Arial"/>
          <w:sz w:val="24"/>
          <w:szCs w:val="24"/>
        </w:rPr>
        <w:t xml:space="preserve">Должностное лицо оператора обмена виртуальных активов вправе занимать свою должность без согласования не более 45 календарных дней со дня его назначения (избрания).</w:t>
      </w:r>
    </w:p>
    <w:p>
      <w:pPr>
        <w:spacing w:after="120"/>
        <w:ind w:firstLine="567"/>
        <w:jc w:val="both"/>
      </w:pPr>
      <w:r>
        <w:rPr>
          <w:rFonts w:ascii="Arial" w:cs="Arial" w:eastAsia="Arial" w:hAnsi="Arial"/>
          <w:sz w:val="24"/>
          <w:szCs w:val="24"/>
        </w:rPr>
        <w:t xml:space="preserve">По истечении срока, указанного в настоящем пункте, и в случаях непредставления полного пакета документов на согласование либо отказа в согласовании оператор обмена виртуальных активов обязан расторгнуть трудовой договор с данным лицом, либо в случае отсутствия трудового договора принять меры по прекращению полномочий данного должностного лица.</w:t>
      </w:r>
    </w:p>
    <w:p>
      <w:pPr>
        <w:spacing w:after="120"/>
        <w:ind w:firstLine="567"/>
        <w:jc w:val="both"/>
      </w:pPr>
      <w:r>
        <w:rPr>
          <w:rFonts w:ascii="Arial" w:cs="Arial" w:eastAsia="Arial" w:hAnsi="Arial"/>
          <w:sz w:val="24"/>
          <w:szCs w:val="24"/>
        </w:rPr>
        <w:t xml:space="preserve">Запрещается исполнение обязанностей (замещение временно отсутствующего) должностного лица оператора обмена виртуальных активов без согласования свыше срока, установленного настоящим пунктом.</w:t>
      </w:r>
    </w:p>
    <w:p>
      <w:pPr>
        <w:spacing w:after="120"/>
        <w:ind w:firstLine="567"/>
        <w:jc w:val="both"/>
      </w:pPr>
      <w:r>
        <w:rPr>
          <w:rFonts w:ascii="Arial" w:cs="Arial" w:eastAsia="Arial" w:hAnsi="Arial"/>
          <w:sz w:val="24"/>
          <w:szCs w:val="24"/>
        </w:rPr>
        <w:t xml:space="preserve">Для согласования должностного лица оператор обмена виртуальных активов должен представить в уполномоченный орган письмо о согласовании (отдельно) каждой кандидатуры, с приложением заверенных копий следующих документов:</w:t>
      </w:r>
    </w:p>
    <w:p>
      <w:pPr>
        <w:spacing w:after="120"/>
        <w:ind w:firstLine="567"/>
        <w:jc w:val="both"/>
      </w:pPr>
      <w:r>
        <w:rPr>
          <w:rFonts w:ascii="Arial" w:cs="Arial" w:eastAsia="Arial" w:hAnsi="Arial"/>
          <w:sz w:val="24"/>
          <w:szCs w:val="24"/>
        </w:rPr>
        <w:t xml:space="preserve">- решение об избрании/назначении кандидатуры;</w:t>
      </w:r>
    </w:p>
    <w:p>
      <w:pPr>
        <w:spacing w:after="120"/>
        <w:ind w:firstLine="567"/>
        <w:jc w:val="both"/>
      </w:pPr>
      <w:r>
        <w:rPr>
          <w:rFonts w:ascii="Arial" w:cs="Arial" w:eastAsia="Arial" w:hAnsi="Arial"/>
          <w:sz w:val="24"/>
          <w:szCs w:val="24"/>
        </w:rPr>
        <w:t xml:space="preserve">- удостоверение личности кандидата;</w:t>
      </w:r>
    </w:p>
    <w:p>
      <w:pPr>
        <w:spacing w:after="120"/>
        <w:ind w:firstLine="567"/>
        <w:jc w:val="both"/>
      </w:pPr>
      <w:r>
        <w:rPr>
          <w:rFonts w:ascii="Arial" w:cs="Arial" w:eastAsia="Arial" w:hAnsi="Arial"/>
          <w:sz w:val="24"/>
          <w:szCs w:val="24"/>
        </w:rPr>
        <w:t xml:space="preserve">- оригинал справки об отсутствии судимости;</w:t>
      </w:r>
    </w:p>
    <w:p>
      <w:pPr>
        <w:spacing w:after="120"/>
        <w:ind w:firstLine="567"/>
        <w:jc w:val="both"/>
      </w:pPr>
      <w:r>
        <w:rPr>
          <w:rFonts w:ascii="Arial" w:cs="Arial" w:eastAsia="Arial" w:hAnsi="Arial"/>
          <w:sz w:val="24"/>
          <w:szCs w:val="24"/>
        </w:rPr>
        <w:t xml:space="preserve">- оригинал анкеты кандидата по установленной форме согласно приложению 1 к настоящему Положению.</w:t>
      </w:r>
    </w:p>
    <w:p>
      <w:pPr>
        <w:spacing w:after="120"/>
        <w:ind w:firstLine="567"/>
        <w:jc w:val="both"/>
      </w:pPr>
      <w:r>
        <w:rPr>
          <w:rFonts w:ascii="Arial" w:cs="Arial" w:eastAsia="Arial" w:hAnsi="Arial"/>
          <w:sz w:val="24"/>
          <w:szCs w:val="24"/>
        </w:rPr>
        <w:t xml:space="preserve">Если документы для согласования кандидатуры должностного лица имеются в системе межведомственного электронного взаимодействия "Тундук", то их представление в уполномоченный орган не требуется.</w:t>
      </w:r>
    </w:p>
    <w:p>
      <w:pPr>
        <w:spacing w:after="120"/>
        <w:ind w:firstLine="567"/>
        <w:jc w:val="both"/>
      </w:pPr>
      <w:r>
        <w:rPr>
          <w:rFonts w:ascii="Arial" w:cs="Arial" w:eastAsia="Arial" w:hAnsi="Arial"/>
          <w:sz w:val="24"/>
          <w:szCs w:val="24"/>
        </w:rPr>
        <w:t xml:space="preserve">При изменении в составе должностных лиц, прошедших процедуру согласования, оператор обмена виртуальных активов в течение 5 (пять) рабочих дней со дня избрания (назначения) нового должностного лица обязан предоставить в уполномоченный орган уведомление об изменениях. Письмо о согласовании новой кандидатуры представляется в уполномоченный орган в течение 10 (десять) рабочих дней со дня избрания (назначения) с приложением перечисленных выше документов.</w:t>
      </w:r>
    </w:p>
    <w:p>
      <w:pPr>
        <w:spacing w:after="120"/>
        <w:ind w:firstLine="567"/>
        <w:jc w:val="both"/>
      </w:pPr>
      <w:r>
        <w:rPr>
          <w:rFonts w:ascii="Arial" w:cs="Arial" w:eastAsia="Arial" w:hAnsi="Arial"/>
          <w:sz w:val="24"/>
          <w:szCs w:val="24"/>
        </w:rPr>
        <w:t xml:space="preserve">При изменении информации, содержащейся в пунктах анкеты, должностные лица, прошедшие согласование, обязаны уведомлять об этом (в письменной форме) уполномоченный орган в течение 10 (десять) рабочих дней после изменений.</w:t>
      </w:r>
    </w:p>
    <w:p>
      <w:pPr>
        <w:spacing w:after="120"/>
        <w:ind w:firstLine="567"/>
        <w:jc w:val="both"/>
      </w:pPr>
      <w:r>
        <w:rPr>
          <w:rFonts w:ascii="Arial" w:cs="Arial" w:eastAsia="Arial" w:hAnsi="Arial"/>
          <w:sz w:val="24"/>
          <w:szCs w:val="24"/>
        </w:rPr>
        <w:t xml:space="preserve">Документы на согласование должностного лица представляются на государственном или официальном языках.</w:t>
      </w:r>
    </w:p>
    <w:p>
      <w:pPr>
        <w:spacing w:after="120"/>
        <w:ind w:firstLine="567"/>
        <w:jc w:val="both"/>
      </w:pPr>
      <w:r>
        <w:rPr>
          <w:rFonts w:ascii="Arial" w:cs="Arial" w:eastAsia="Arial" w:hAnsi="Arial"/>
          <w:sz w:val="24"/>
          <w:szCs w:val="24"/>
        </w:rPr>
        <w:t xml:space="preserve">Документы, представленные для выдачи согласия на назначение (избрание) должностных лиц оператора обмена виртуальных активов, рассматриваются уполномоченным органом в течение 30 (тридцать) календарных дней с даты представления полного пакета документов в соответствии с требованиями настоящего Положения.</w:t>
      </w:r>
    </w:p>
    <w:p>
      <w:pPr>
        <w:spacing w:after="120"/>
        <w:ind w:firstLine="567"/>
        <w:jc w:val="both"/>
      </w:pPr>
      <w:r>
        <w:rPr>
          <w:rFonts w:ascii="Arial" w:cs="Arial" w:eastAsia="Arial" w:hAnsi="Arial"/>
          <w:sz w:val="24"/>
          <w:szCs w:val="24"/>
        </w:rPr>
        <w:t xml:space="preserve">В выдаче согласия на назначение (избрание) должностных лиц оператора обмена виртуальных активов отказывается по следующим основаниям:</w:t>
      </w:r>
    </w:p>
    <w:p>
      <w:pPr>
        <w:spacing w:after="120"/>
        <w:ind w:firstLine="567"/>
        <w:jc w:val="both"/>
      </w:pPr>
      <w:r>
        <w:rPr>
          <w:rFonts w:ascii="Arial" w:cs="Arial" w:eastAsia="Arial" w:hAnsi="Arial"/>
          <w:sz w:val="24"/>
          <w:szCs w:val="24"/>
        </w:rPr>
        <w:t xml:space="preserve">- несоответствие должностных лиц требованиям, установленным </w:t>
      </w:r>
      <w:hyperlink w:history="1" r:id="rIdgnnsnlgl-grpt4zsgr7w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виртуальных активах";</w:t>
      </w:r>
    </w:p>
    <w:p>
      <w:pPr>
        <w:spacing w:after="120"/>
        <w:ind w:firstLine="567"/>
        <w:jc w:val="both"/>
      </w:pPr>
      <w:r>
        <w:rPr>
          <w:rFonts w:ascii="Arial" w:cs="Arial" w:eastAsia="Arial" w:hAnsi="Arial"/>
          <w:sz w:val="24"/>
          <w:szCs w:val="24"/>
        </w:rPr>
        <w:t xml:space="preserve">- неустранение оператором обмена виртуальных активов замечаний или представление оператором обмена виртуальных активов доработанных с учетом замечаний документов по истечении установленного настоящим пунктом срока рассмотрения документов;</w:t>
      </w:r>
    </w:p>
    <w:p>
      <w:pPr>
        <w:spacing w:after="120"/>
        <w:ind w:firstLine="567"/>
        <w:jc w:val="both"/>
      </w:pPr>
      <w:r>
        <w:rPr>
          <w:rFonts w:ascii="Arial" w:cs="Arial" w:eastAsia="Arial" w:hAnsi="Arial"/>
          <w:sz w:val="24"/>
          <w:szCs w:val="24"/>
        </w:rPr>
        <w:t xml:space="preserve">- представление документов по истечении установленного настоящим пунктом срока, в течение которого должностное лицо может занимать свою должность без согласования.</w:t>
      </w:r>
    </w:p>
    <w:p>
      <w:pPr>
        <w:spacing w:after="120"/>
        <w:ind w:firstLine="567"/>
        <w:jc w:val="both"/>
      </w:pPr>
      <w:r>
        <w:rPr>
          <w:rFonts w:ascii="Arial" w:cs="Arial" w:eastAsia="Arial" w:hAnsi="Arial"/>
          <w:sz w:val="24"/>
          <w:szCs w:val="24"/>
        </w:rPr>
        <w:t xml:space="preserve">Выданное согласие на назначение (избрание) должностного лица оператора обмена виртуальных активов отзывается по следующим основаниям:</w:t>
      </w:r>
    </w:p>
    <w:p>
      <w:pPr>
        <w:spacing w:after="120"/>
        <w:ind w:firstLine="567"/>
        <w:jc w:val="both"/>
      </w:pPr>
      <w:r>
        <w:rPr>
          <w:rFonts w:ascii="Arial" w:cs="Arial" w:eastAsia="Arial" w:hAnsi="Arial"/>
          <w:sz w:val="24"/>
          <w:szCs w:val="24"/>
        </w:rPr>
        <w:t xml:space="preserve">- выявление недостоверных сведений, на основании которых было выдано согласие;</w:t>
      </w:r>
    </w:p>
    <w:p>
      <w:pPr>
        <w:spacing w:after="120"/>
        <w:ind w:firstLine="567"/>
        <w:jc w:val="both"/>
      </w:pPr>
      <w:r>
        <w:rPr>
          <w:rFonts w:ascii="Arial" w:cs="Arial" w:eastAsia="Arial" w:hAnsi="Arial"/>
          <w:sz w:val="24"/>
          <w:szCs w:val="24"/>
        </w:rPr>
        <w:t xml:space="preserve">- систематическое (3 (три) и более раза в течение последних 12 календарных месяцев) применение уполномоченным органом мер воздействия к должностному лицу и/или оператора обмена виртуальных активов, в котором данное должностное лицо занимает (занимал в течение последних 12 календарных месяцев) соответствующую должность;</w:t>
      </w:r>
    </w:p>
    <w:p>
      <w:pPr>
        <w:spacing w:after="120"/>
        <w:ind w:firstLine="567"/>
        <w:jc w:val="both"/>
      </w:pPr>
      <w:r>
        <w:rPr>
          <w:rFonts w:ascii="Arial" w:cs="Arial" w:eastAsia="Arial" w:hAnsi="Arial"/>
          <w:sz w:val="24"/>
          <w:szCs w:val="24"/>
        </w:rPr>
        <w:t xml:space="preserve">- наличие непогашенной судимости.</w:t>
      </w:r>
    </w:p>
    <w:p>
      <w:pPr>
        <w:spacing w:after="120"/>
        <w:ind w:firstLine="567"/>
        <w:jc w:val="both"/>
      </w:pPr>
      <w:r>
        <w:rPr>
          <w:rFonts w:ascii="Arial" w:cs="Arial" w:eastAsia="Arial" w:hAnsi="Arial"/>
          <w:sz w:val="24"/>
          <w:szCs w:val="24"/>
        </w:rPr>
        <w:t xml:space="preserve">В случае отзыва согласия на назначение (избрание) должностного лица оператора обмена виртуальных активов оператор обмена виртуальных активов обязан расторгнуть трудовой договор с данным лицом не позднее чем через 14 (четырнадцать) календарных дней со дня получения отзыва. В случае если трудовой договор отсутствует, оператор обмена виртуальных активов должен принять меры по прекращению полномочий данного должностного лица.";</w:t>
      </w:r>
    </w:p>
    <w:p>
      <w:pPr>
        <w:spacing w:after="120"/>
        <w:ind w:firstLine="567"/>
        <w:jc w:val="both"/>
      </w:pPr>
      <w:r>
        <w:rPr>
          <w:rFonts w:ascii="Arial" w:cs="Arial" w:eastAsia="Arial" w:hAnsi="Arial"/>
          <w:sz w:val="24"/>
          <w:szCs w:val="24"/>
        </w:rPr>
        <w:t xml:space="preserve">- пункт 7 изложить в следующей редакции:</w:t>
      </w:r>
    </w:p>
    <w:p>
      <w:pPr>
        <w:spacing w:after="120"/>
        <w:ind w:firstLine="567"/>
        <w:jc w:val="both"/>
      </w:pPr>
      <w:r>
        <w:rPr>
          <w:rFonts w:ascii="Arial" w:cs="Arial" w:eastAsia="Arial" w:hAnsi="Arial"/>
          <w:sz w:val="24"/>
          <w:szCs w:val="24"/>
        </w:rPr>
        <w:t xml:space="preserve">"7. Оператор обмена виртуальных активов вправе устанавливать отношения с клиентами, которыми могут выступать любые физические и юридические лица (как резиденты, так и нерезиденты Кыргызской Республики), за исключением случаев, предусмотренных настоящим Положением и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567"/>
        <w:jc w:val="both"/>
      </w:pPr>
      <w:r>
        <w:rPr>
          <w:rFonts w:ascii="Arial" w:cs="Arial" w:eastAsia="Arial" w:hAnsi="Arial"/>
          <w:sz w:val="24"/>
          <w:szCs w:val="24"/>
        </w:rPr>
        <w:t xml:space="preserve">Отношения оператора обмена виртуальных активов с клиентами строятся на договорной основе и/или публичной оферте.</w:t>
      </w:r>
    </w:p>
    <w:p>
      <w:pPr>
        <w:spacing w:after="120"/>
        <w:ind w:firstLine="567"/>
        <w:jc w:val="both"/>
      </w:pPr>
      <w:r>
        <w:rPr>
          <w:rFonts w:ascii="Arial" w:cs="Arial" w:eastAsia="Arial" w:hAnsi="Arial"/>
          <w:sz w:val="24"/>
          <w:szCs w:val="24"/>
        </w:rPr>
        <w:t xml:space="preserve">В договорах и/или публичной оферте, посредством которых устанавливаются отношения с клиентами, оператор обмена виртуальных активов обязан учитывать условия, предусмотренные настоящим Положением, </w:t>
      </w:r>
      <w:hyperlink w:history="1" r:id="rIdlslje6hbgjvvo9zvhnruu">
        <w:r>
          <w:rPr>
            <w:rFonts w:ascii="Arial" w:cs="Arial" w:eastAsia="Arial" w:hAnsi="Arial"/>
            <w:color w:val="1D4ED8"/>
            <w:sz w:val="24"/>
            <w:szCs w:val="24"/>
            <w:u w:val="single"/>
          </w:rPr>
          <w:t xml:space="preserve">Законом </w:t>
        </w:r>
      </w:hyperlink>
      <w:r>
        <w:rPr>
          <w:rFonts w:ascii="Arial" w:cs="Arial" w:eastAsia="Arial" w:hAnsi="Arial"/>
          <w:sz w:val="24"/>
          <w:szCs w:val="24"/>
        </w:rPr>
        <w:t xml:space="preserve">Кыргызской Республики "О виртуальных активах", а также законодательством в сфере противодействия финансированию террористической деятельности и легализации (отмыванию) преступных доходов.</w:t>
      </w:r>
    </w:p>
    <w:p>
      <w:pPr>
        <w:spacing w:after="120"/>
        <w:ind w:firstLine="567"/>
        <w:jc w:val="both"/>
      </w:pPr>
      <w:r>
        <w:rPr>
          <w:rFonts w:ascii="Arial" w:cs="Arial" w:eastAsia="Arial" w:hAnsi="Arial"/>
          <w:sz w:val="24"/>
          <w:szCs w:val="24"/>
        </w:rPr>
        <w:t xml:space="preserve">Принятие клиентом публичной оферты должно быть полным и безоговорочным. Совершение клиентом, получившим публичную оферту в срок, установленный для ее акцепта, действий по выполнению указанных в ней условий договора считается акцептом, если иное не предусмотрено законодательством в области гражданского права или не указано в публичной оферте.";</w:t>
      </w:r>
    </w:p>
    <w:p>
      <w:pPr>
        <w:spacing w:after="120"/>
        <w:ind w:firstLine="567"/>
        <w:jc w:val="both"/>
      </w:pPr>
      <w:r>
        <w:rPr>
          <w:rFonts w:ascii="Arial" w:cs="Arial" w:eastAsia="Arial" w:hAnsi="Arial"/>
          <w:sz w:val="24"/>
          <w:szCs w:val="24"/>
        </w:rPr>
        <w:t xml:space="preserve">- дополнить пунктом 7-1 следующего содержания:</w:t>
      </w:r>
    </w:p>
    <w:p>
      <w:pPr>
        <w:spacing w:after="120"/>
        <w:ind w:firstLine="567"/>
        <w:jc w:val="both"/>
      </w:pPr>
      <w:r>
        <w:rPr>
          <w:rFonts w:ascii="Arial" w:cs="Arial" w:eastAsia="Arial" w:hAnsi="Arial"/>
          <w:sz w:val="24"/>
          <w:szCs w:val="24"/>
        </w:rPr>
        <w:t xml:space="preserve">"7-1. Для установления отношений с клиентом оператор обмена виртуальных активов обязан провести идентификацию или удаленную идентификацию и верификацию или удаленную верификацию идентификационных данных клиента в соответствии с законодательством в сфере противодействия финансированию террористической деятельности и легализации (отмыванию) преступных доходов и в сфере оборота виртуальных активов.</w:t>
      </w:r>
    </w:p>
    <w:p>
      <w:pPr>
        <w:spacing w:after="120"/>
        <w:ind w:firstLine="567"/>
        <w:jc w:val="both"/>
      </w:pPr>
      <w:r>
        <w:rPr>
          <w:rFonts w:ascii="Arial" w:cs="Arial" w:eastAsia="Arial" w:hAnsi="Arial"/>
          <w:sz w:val="24"/>
          <w:szCs w:val="24"/>
        </w:rPr>
        <w:t xml:space="preserve">Все проверки транзакций юридических и физических лиц по виртуальным активам в рамках соблюдения мер по противодействию финансированию террористической деятельности и легализации (отмыванию) преступных доходов (AML) в обязательном порядке должны проходить через информационную систему (программное обеспечение), определенную уполномоченным органом.";</w:t>
      </w:r>
    </w:p>
    <w:p>
      <w:pPr>
        <w:spacing w:after="120"/>
        <w:ind w:firstLine="567"/>
        <w:jc w:val="both"/>
      </w:pPr>
      <w:r>
        <w:rPr>
          <w:rFonts w:ascii="Arial" w:cs="Arial" w:eastAsia="Arial" w:hAnsi="Arial"/>
          <w:sz w:val="24"/>
          <w:szCs w:val="24"/>
        </w:rPr>
        <w:t xml:space="preserve">- пункты 10-12 изложить в следующей редакции:</w:t>
      </w:r>
    </w:p>
    <w:p>
      <w:pPr>
        <w:spacing w:after="120"/>
        <w:ind w:firstLine="567"/>
        <w:jc w:val="both"/>
      </w:pPr>
      <w:r>
        <w:rPr>
          <w:rFonts w:ascii="Arial" w:cs="Arial" w:eastAsia="Arial" w:hAnsi="Arial"/>
          <w:sz w:val="24"/>
          <w:szCs w:val="24"/>
        </w:rPr>
        <w:t xml:space="preserve">"10. До совершения с гражданами Кыргызской Республики сделок по продаже им виртуальных активов за денежные средства или электронные деньги либо по обмену виртуальных активов одного вида на виртуальные активы другого вида оператор обмена виртуальных активов обязан убедиться в том, что они обладают достаточным уровнем знаний (компетентности) для совершения таких сделок. Оператор обмена виртуальных активов не вправе совершать названные сделки с теми гражданами Кыргызской Республики, в отношении которых он установил, что они таким уровнем знаний (компетентности) не обладают.</w:t>
      </w:r>
    </w:p>
    <w:p>
      <w:pPr>
        <w:spacing w:after="120"/>
        <w:ind w:firstLine="567"/>
        <w:jc w:val="both"/>
      </w:pPr>
      <w:r>
        <w:rPr>
          <w:rFonts w:ascii="Arial" w:cs="Arial" w:eastAsia="Arial" w:hAnsi="Arial"/>
          <w:sz w:val="24"/>
          <w:szCs w:val="24"/>
        </w:rPr>
        <w:t xml:space="preserve">Определение уровня знаний (компетентности) для совершения сделок, указанных в абзаце первом настоящего пункта, производится оператором обмена виртуальных активов посредством представления гражданам Кыргызской Республики вопросника (теста) для заполнения (решения).</w:t>
      </w:r>
    </w:p>
    <w:p>
      <w:pPr>
        <w:spacing w:after="120"/>
        <w:ind w:firstLine="567"/>
        <w:jc w:val="both"/>
      </w:pPr>
      <w:r>
        <w:rPr>
          <w:rFonts w:ascii="Arial" w:cs="Arial" w:eastAsia="Arial" w:hAnsi="Arial"/>
          <w:sz w:val="24"/>
          <w:szCs w:val="24"/>
        </w:rPr>
        <w:t xml:space="preserve">Вопросник (тест) и изменения/дополнения к нему подлежат согласованию с уполномоченным органом в порядке и сроки, установленные уполномоченным органом.</w:t>
      </w:r>
    </w:p>
    <w:p>
      <w:pPr>
        <w:spacing w:after="120"/>
        <w:ind w:firstLine="567"/>
        <w:jc w:val="both"/>
      </w:pPr>
      <w:r>
        <w:rPr>
          <w:rFonts w:ascii="Arial" w:cs="Arial" w:eastAsia="Arial" w:hAnsi="Arial"/>
          <w:sz w:val="24"/>
          <w:szCs w:val="24"/>
        </w:rPr>
        <w:t xml:space="preserve">Уполномоченный орган после получения соответствующего уведомления анализирует полученный вопросник (тест) и в случае наличия замечаний/предложений в течение 30 (тридцати) календарных дней со дня регистрации уведомления информирует оператора обмена виртуальных активов о необходимости проработки вопросника (теста).</w:t>
      </w:r>
    </w:p>
    <w:p>
      <w:pPr>
        <w:spacing w:after="120"/>
        <w:ind w:firstLine="567"/>
        <w:jc w:val="both"/>
      </w:pPr>
      <w:r>
        <w:rPr>
          <w:rFonts w:ascii="Arial" w:cs="Arial" w:eastAsia="Arial" w:hAnsi="Arial"/>
          <w:sz w:val="24"/>
          <w:szCs w:val="24"/>
        </w:rPr>
        <w:t xml:space="preserve">Оператор обмена виртуальных активов должен информировать клиента о рисках при осуществлении сделок с виртуальными активами.</w:t>
      </w:r>
    </w:p>
    <w:p>
      <w:pPr>
        <w:spacing w:after="120"/>
        <w:ind w:firstLine="567"/>
        <w:jc w:val="both"/>
      </w:pPr>
      <w:r>
        <w:rPr>
          <w:rFonts w:ascii="Arial" w:cs="Arial" w:eastAsia="Arial" w:hAnsi="Arial"/>
          <w:sz w:val="24"/>
          <w:szCs w:val="24"/>
        </w:rPr>
        <w:t xml:space="preserve">11. Оператор обмена виртуальных активов обязан обеспечить хранение документов по идентификации и верификации клиента, в том числе удаленной идентификации и верификации клиента, соответствующих анкет клиента, договора, а в случае, если клиент юридическое лицо, учредительных документов, свидетельства о регистрации, а также документов, полученных в ходе определения уровня знаний (компетентности), предусмотренного в пункте 10 настоящего Положения, не менее 5 (пять) лет с даты получения таких документов.</w:t>
      </w:r>
    </w:p>
    <w:p>
      <w:pPr>
        <w:spacing w:after="120"/>
        <w:ind w:firstLine="567"/>
        <w:jc w:val="both"/>
      </w:pPr>
      <w:r>
        <w:rPr>
          <w:rFonts w:ascii="Arial" w:cs="Arial" w:eastAsia="Arial" w:hAnsi="Arial"/>
          <w:sz w:val="24"/>
          <w:szCs w:val="24"/>
        </w:rPr>
        <w:t xml:space="preserve">12. Оператор обмена виртуальных активов вправе определить критерии, которым должны соответствовать нерезиденты Кыргызской Республики, а также юридические лица Кыргызской Республики для установления с ними отношений (в том числе требования к финансовому состоянию и репутации).</w:t>
      </w:r>
    </w:p>
    <w:p>
      <w:pPr>
        <w:spacing w:after="120"/>
        <w:ind w:firstLine="567"/>
        <w:jc w:val="both"/>
      </w:pPr>
      <w:r>
        <w:rPr>
          <w:rFonts w:ascii="Arial" w:cs="Arial" w:eastAsia="Arial" w:hAnsi="Arial"/>
          <w:sz w:val="24"/>
          <w:szCs w:val="24"/>
        </w:rPr>
        <w:t xml:space="preserve">Установленные оператором обмена виртуальных активов критерии должны соответствовать требованиям законодательства Кыргызской Республики в части противодействия финансированию террористической деятельности и легализации (отмыванию) преступных доходов.";</w:t>
      </w:r>
    </w:p>
    <w:p>
      <w:pPr>
        <w:spacing w:after="120"/>
        <w:ind w:firstLine="567"/>
        <w:jc w:val="both"/>
      </w:pPr>
      <w:r>
        <w:rPr>
          <w:rFonts w:ascii="Arial" w:cs="Arial" w:eastAsia="Arial" w:hAnsi="Arial"/>
          <w:sz w:val="24"/>
          <w:szCs w:val="24"/>
        </w:rPr>
        <w:t xml:space="preserve">- абзац пятый пункта 13 изложить в следующей редакции:</w:t>
      </w:r>
    </w:p>
    <w:p>
      <w:pPr>
        <w:spacing w:after="120"/>
        <w:ind w:firstLine="567"/>
        <w:jc w:val="both"/>
      </w:pPr>
      <w:r>
        <w:rPr>
          <w:rFonts w:ascii="Arial" w:cs="Arial" w:eastAsia="Arial" w:hAnsi="Arial"/>
          <w:sz w:val="24"/>
          <w:szCs w:val="24"/>
        </w:rPr>
        <w:t xml:space="preserve">"- обеспечивать своевременное исполнение заявок клиентов на покупку и (или) продажу виртуальных активов за денежные средства или электронные деньги либо обмен виртуальных активов одного вида на виртуальные активы другого вида в соответствии с настоящим Положением (при наличии возможности исполнить такие заявки);";</w:t>
      </w:r>
    </w:p>
    <w:p>
      <w:pPr>
        <w:spacing w:after="120"/>
        <w:ind w:firstLine="567"/>
        <w:jc w:val="both"/>
      </w:pPr>
      <w:r>
        <w:rPr>
          <w:rFonts w:ascii="Arial" w:cs="Arial" w:eastAsia="Arial" w:hAnsi="Arial"/>
          <w:sz w:val="24"/>
          <w:szCs w:val="24"/>
        </w:rPr>
        <w:t xml:space="preserve">- абзац пятый пункта 15 изложить в следующей редакции:</w:t>
      </w:r>
    </w:p>
    <w:p>
      <w:pPr>
        <w:spacing w:after="120"/>
        <w:ind w:firstLine="567"/>
        <w:jc w:val="both"/>
      </w:pPr>
      <w:r>
        <w:rPr>
          <w:rFonts w:ascii="Arial" w:cs="Arial" w:eastAsia="Arial" w:hAnsi="Arial"/>
          <w:sz w:val="24"/>
          <w:szCs w:val="24"/>
        </w:rPr>
        <w:t xml:space="preserve">"- если в рекламе содержится информация о прошлых результатах, прогнозируемых результатах или предполагаемых ожидаемых результатах, она должна быть ясной и недвусмысленно раскрывать суть таких данных, время, в котором данные события имели место быть, и степень вероятности выводов, основанных на них, с соблюдением требований законодательства о рекламе;";</w:t>
      </w:r>
    </w:p>
    <w:p>
      <w:pPr>
        <w:spacing w:after="120"/>
        <w:ind w:firstLine="567"/>
        <w:jc w:val="both"/>
      </w:pPr>
      <w:r>
        <w:rPr>
          <w:rFonts w:ascii="Arial" w:cs="Arial" w:eastAsia="Arial" w:hAnsi="Arial"/>
          <w:sz w:val="24"/>
          <w:szCs w:val="24"/>
        </w:rPr>
        <w:t xml:space="preserve">- в пункте 16:</w:t>
      </w:r>
    </w:p>
    <w:p>
      <w:pPr>
        <w:spacing w:after="120"/>
        <w:ind w:firstLine="567"/>
        <w:jc w:val="both"/>
      </w:pPr>
      <w:r>
        <w:rPr>
          <w:rFonts w:ascii="Arial" w:cs="Arial" w:eastAsia="Arial" w:hAnsi="Arial"/>
          <w:sz w:val="24"/>
          <w:szCs w:val="24"/>
        </w:rPr>
        <w:t xml:space="preserve">абзац второй изложить в следующей редакции:</w:t>
      </w:r>
    </w:p>
    <w:p>
      <w:pPr>
        <w:spacing w:after="120"/>
        <w:ind w:firstLine="567"/>
        <w:jc w:val="both"/>
      </w:pPr>
      <w:r>
        <w:rPr>
          <w:rFonts w:ascii="Arial" w:cs="Arial" w:eastAsia="Arial" w:hAnsi="Arial"/>
          <w:sz w:val="24"/>
          <w:szCs w:val="24"/>
        </w:rPr>
        <w:t xml:space="preserve">"Использование в рекламе сведений об эффективности (доходности) деятельности, связанной с использованием виртуальных активов, или самих виртуальных активов допускается при наличии у оператора обмена виртуальных активов соответствующих данных финансовой отчетности за последний завершенный финансовый год, достоверность которых подтверждена аудиторской организацией.";</w:t>
      </w:r>
    </w:p>
    <w:p>
      <w:pPr>
        <w:spacing w:after="120"/>
        <w:ind w:firstLine="567"/>
        <w:jc w:val="both"/>
      </w:pPr>
      <w:r>
        <w:rPr>
          <w:rFonts w:ascii="Arial" w:cs="Arial" w:eastAsia="Arial" w:hAnsi="Arial"/>
          <w:sz w:val="24"/>
          <w:szCs w:val="24"/>
        </w:rPr>
        <w:t xml:space="preserve">дополнить абзацем третьим следующего содержания:</w:t>
      </w:r>
    </w:p>
    <w:p>
      <w:pPr>
        <w:spacing w:after="120"/>
        <w:ind w:firstLine="567"/>
        <w:jc w:val="both"/>
      </w:pPr>
      <w:r>
        <w:rPr>
          <w:rFonts w:ascii="Arial" w:cs="Arial" w:eastAsia="Arial" w:hAnsi="Arial"/>
          <w:sz w:val="24"/>
          <w:szCs w:val="24"/>
        </w:rPr>
        <w:t xml:space="preserve">"В рекламе запрещается использовать:";</w:t>
      </w:r>
    </w:p>
    <w:p>
      <w:pPr>
        <w:spacing w:after="120"/>
        <w:ind w:firstLine="567"/>
        <w:jc w:val="both"/>
      </w:pPr>
      <w:r>
        <w:rPr>
          <w:rFonts w:ascii="Arial" w:cs="Arial" w:eastAsia="Arial" w:hAnsi="Arial"/>
          <w:sz w:val="24"/>
          <w:szCs w:val="24"/>
        </w:rPr>
        <w:t xml:space="preserve">- пункт 21 изложить в следующей редакции:</w:t>
      </w:r>
    </w:p>
    <w:p>
      <w:pPr>
        <w:spacing w:after="120"/>
        <w:ind w:firstLine="567"/>
        <w:jc w:val="both"/>
      </w:pPr>
      <w:r>
        <w:rPr>
          <w:rFonts w:ascii="Arial" w:cs="Arial" w:eastAsia="Arial" w:hAnsi="Arial"/>
          <w:sz w:val="24"/>
          <w:szCs w:val="24"/>
        </w:rPr>
        <w:t xml:space="preserve">"21. Сделки с виртуальными активами совершаются оператором обмена виртуальных активов от собственного имени и в своих интересах с использованием специализированной платформы (информационных систем и (или) программно-технических комплексов, работающих в режиме самообслуживания). Операционные требования к специализированной платформе оператора обмена виртуальных активов утверждаются приказом уполномоченного органа.</w:t>
      </w:r>
    </w:p>
    <w:p>
      <w:pPr>
        <w:spacing w:after="120"/>
        <w:ind w:firstLine="567"/>
        <w:jc w:val="both"/>
      </w:pPr>
      <w:r>
        <w:rPr>
          <w:rFonts w:ascii="Arial" w:cs="Arial" w:eastAsia="Arial" w:hAnsi="Arial"/>
          <w:sz w:val="24"/>
          <w:szCs w:val="24"/>
        </w:rPr>
        <w:t xml:space="preserve">Для совершения сделки с виртуальными активами оператор обмена виртуальных активов получает от клиентов заявки на покупку и/или продажу виртуальных активов за денежные средства или электронные деньги либо обмен виртуальных активов одного вида на виртуальные активы другого вида, которые в том числе могут являться офертами.</w:t>
      </w:r>
    </w:p>
    <w:p>
      <w:pPr>
        <w:spacing w:after="120"/>
        <w:ind w:firstLine="567"/>
        <w:jc w:val="both"/>
      </w:pPr>
      <w:r>
        <w:rPr>
          <w:rFonts w:ascii="Arial" w:cs="Arial" w:eastAsia="Arial" w:hAnsi="Arial"/>
          <w:sz w:val="24"/>
          <w:szCs w:val="24"/>
        </w:rPr>
        <w:t xml:space="preserve">Требования к содержанию заявок должны соответствовать законодательству Кыргызской Республики и определяются внутренними документами оператора обмена виртуальных активов, в которых должны быть четко определены условия их принятия, исполнения и расчетов. При наличии возможности исполнить заявку, отвечающую указанным требованиям, оператор обмена виртуальных активов обязан принять ее и исполнить.</w:t>
      </w:r>
    </w:p>
    <w:p>
      <w:pPr>
        <w:spacing w:after="120"/>
        <w:ind w:firstLine="567"/>
        <w:jc w:val="both"/>
      </w:pPr>
      <w:r>
        <w:rPr>
          <w:rFonts w:ascii="Arial" w:cs="Arial" w:eastAsia="Arial" w:hAnsi="Arial"/>
          <w:sz w:val="24"/>
          <w:szCs w:val="24"/>
        </w:rPr>
        <w:t xml:space="preserve">Исполнение заявки должно производиться оператором обмена виртуальных активов после ее получения и по той цене, которая была сообщена клиенту в день направления клиентом соответствующей заявки и согласно договорным отношениям с клиентом. Оператор обмена виртуальных активов обязан обеспечить фиксацию времени наступления данного момента с точностью до минут и отправление клиенту электронного уведомления и/или документа, предусматривающего фиксацию даты, времени, курса покупки, продажи и/или обмена виртуального актива, суммы и объема сделки.";</w:t>
      </w:r>
    </w:p>
    <w:p>
      <w:pPr>
        <w:spacing w:after="120"/>
        <w:ind w:firstLine="567"/>
        <w:jc w:val="both"/>
      </w:pPr>
      <w:r>
        <w:rPr>
          <w:rFonts w:ascii="Arial" w:cs="Arial" w:eastAsia="Arial" w:hAnsi="Arial"/>
          <w:sz w:val="24"/>
          <w:szCs w:val="24"/>
        </w:rPr>
        <w:t xml:space="preserve">- пункт 23 после слов "электронное сообщение" дополнить словами "или иной подтверждающий документ";</w:t>
      </w:r>
    </w:p>
    <w:p>
      <w:pPr>
        <w:spacing w:after="120"/>
        <w:ind w:firstLine="567"/>
        <w:jc w:val="both"/>
      </w:pPr>
      <w:r>
        <w:rPr>
          <w:rFonts w:ascii="Arial" w:cs="Arial" w:eastAsia="Arial" w:hAnsi="Arial"/>
          <w:sz w:val="24"/>
          <w:szCs w:val="24"/>
        </w:rPr>
        <w:t xml:space="preserve">- пункт 24 дополнить абзацами следующего содержания:</w:t>
      </w:r>
    </w:p>
    <w:p>
      <w:pPr>
        <w:spacing w:after="120"/>
        <w:ind w:firstLine="567"/>
        <w:jc w:val="both"/>
      </w:pPr>
      <w:r>
        <w:rPr>
          <w:rFonts w:ascii="Arial" w:cs="Arial" w:eastAsia="Arial" w:hAnsi="Arial"/>
          <w:sz w:val="24"/>
          <w:szCs w:val="24"/>
        </w:rPr>
        <w:t xml:space="preserve">"Операторам обмена виртуальных активов запрещается:</w:t>
      </w:r>
    </w:p>
    <w:p>
      <w:pPr>
        <w:spacing w:after="120"/>
        <w:ind w:firstLine="567"/>
        <w:jc w:val="both"/>
      </w:pPr>
      <w:r>
        <w:rPr>
          <w:rFonts w:ascii="Arial" w:cs="Arial" w:eastAsia="Arial" w:hAnsi="Arial"/>
          <w:sz w:val="24"/>
          <w:szCs w:val="24"/>
        </w:rPr>
        <w:t xml:space="preserve">- использовать в деятельности кошельки виртуальных активов повышенной конфиденциальности (Private Wallets), если обладатели/держатели таких кошельков не были идентифицированы надлежащим образом;</w:t>
      </w:r>
    </w:p>
    <w:p>
      <w:pPr>
        <w:spacing w:after="120"/>
        <w:ind w:firstLine="567"/>
        <w:jc w:val="both"/>
      </w:pPr>
      <w:r>
        <w:rPr>
          <w:rFonts w:ascii="Arial" w:cs="Arial" w:eastAsia="Arial" w:hAnsi="Arial"/>
          <w:sz w:val="24"/>
          <w:szCs w:val="24"/>
        </w:rPr>
        <w:t xml:space="preserve">- использовать в деятельности виртуальные активы с повышенной конфиденциальностью (Private Coins) и токены с уникальными характеристиками (NFT);</w:t>
      </w:r>
    </w:p>
    <w:p>
      <w:pPr>
        <w:spacing w:after="120"/>
        <w:ind w:firstLine="567"/>
        <w:jc w:val="both"/>
      </w:pPr>
      <w:r>
        <w:rPr>
          <w:rFonts w:ascii="Arial" w:cs="Arial" w:eastAsia="Arial" w:hAnsi="Arial"/>
          <w:sz w:val="24"/>
          <w:szCs w:val="24"/>
        </w:rPr>
        <w:t xml:space="preserve">- использовать в деятельности предоплаченные карты, выпущенные зарубежными финансовыми учреждениями;</w:t>
      </w:r>
    </w:p>
    <w:p>
      <w:pPr>
        <w:spacing w:after="120"/>
        <w:ind w:firstLine="567"/>
        <w:jc w:val="both"/>
      </w:pPr>
      <w:r>
        <w:rPr>
          <w:rFonts w:ascii="Arial" w:cs="Arial" w:eastAsia="Arial" w:hAnsi="Arial"/>
          <w:sz w:val="24"/>
          <w:szCs w:val="24"/>
        </w:rPr>
        <w:t xml:space="preserve">- переводить виртуальные активы на адреса онлайн-казино;</w:t>
      </w:r>
    </w:p>
    <w:p>
      <w:pPr>
        <w:spacing w:after="120"/>
        <w:ind w:firstLine="567"/>
        <w:jc w:val="both"/>
      </w:pPr>
      <w:r>
        <w:rPr>
          <w:rFonts w:ascii="Arial" w:cs="Arial" w:eastAsia="Arial" w:hAnsi="Arial"/>
          <w:sz w:val="24"/>
          <w:szCs w:val="24"/>
        </w:rPr>
        <w:t xml:space="preserve">- переводить виртуальные активы на децентрализованные системы (DeFi, DEX), если обладатели/держатели кошельков на таких системах/платформах не были идентифицированы надлежащим образом.</w:t>
      </w:r>
    </w:p>
    <w:p>
      <w:pPr>
        <w:spacing w:after="120"/>
        <w:ind w:firstLine="567"/>
        <w:jc w:val="both"/>
      </w:pPr>
      <w:r>
        <w:rPr>
          <w:rFonts w:ascii="Arial" w:cs="Arial" w:eastAsia="Arial" w:hAnsi="Arial"/>
          <w:sz w:val="24"/>
          <w:szCs w:val="24"/>
        </w:rPr>
        <w:t xml:space="preserve">Списки виртуальных активов, запрещенных к использованию, определяются уполномоченным органом и опубликовываются на интернет-сайте уполномоченного органа. Исключения могут быть одобрены отдельным оператором обмена виртуальных активов по запросу последнего и при условии предоставления детального процесса идентификации держателей таких виртуальных активов и системы контроля/мониторинга операций, связанных с такими виртуальными активами.";</w:t>
      </w:r>
    </w:p>
    <w:p>
      <w:pPr>
        <w:spacing w:after="120"/>
        <w:ind w:firstLine="567"/>
        <w:jc w:val="both"/>
      </w:pPr>
      <w:r>
        <w:rPr>
          <w:rFonts w:ascii="Arial" w:cs="Arial" w:eastAsia="Arial" w:hAnsi="Arial"/>
          <w:sz w:val="24"/>
          <w:szCs w:val="24"/>
        </w:rPr>
        <w:t xml:space="preserve">- пункт 25 дополнить абзацем следующего содержания:</w:t>
      </w:r>
    </w:p>
    <w:p>
      <w:pPr>
        <w:spacing w:after="120"/>
        <w:ind w:firstLine="567"/>
        <w:jc w:val="both"/>
      </w:pPr>
      <w:r>
        <w:rPr>
          <w:rFonts w:ascii="Arial" w:cs="Arial" w:eastAsia="Arial" w:hAnsi="Arial"/>
          <w:sz w:val="24"/>
          <w:szCs w:val="24"/>
        </w:rPr>
        <w:t xml:space="preserve">"При оказании услуг по покупке и продаже виртуальных активов операторы обмена виртуальных активов могут использовать только безналичный расчет.";</w:t>
      </w:r>
    </w:p>
    <w:p>
      <w:pPr>
        <w:spacing w:after="120"/>
        <w:ind w:firstLine="567"/>
        <w:jc w:val="both"/>
      </w:pPr>
      <w:r>
        <w:rPr>
          <w:rFonts w:ascii="Arial" w:cs="Arial" w:eastAsia="Arial" w:hAnsi="Arial"/>
          <w:sz w:val="24"/>
          <w:szCs w:val="24"/>
        </w:rPr>
        <w:t xml:space="preserve">- абзац второй пункта 26 изложить в следующей редакции:</w:t>
      </w:r>
    </w:p>
    <w:p>
      <w:pPr>
        <w:spacing w:after="120"/>
        <w:ind w:firstLine="567"/>
        <w:jc w:val="both"/>
      </w:pPr>
      <w:r>
        <w:rPr>
          <w:rFonts w:ascii="Arial" w:cs="Arial" w:eastAsia="Arial" w:hAnsi="Arial"/>
          <w:sz w:val="24"/>
          <w:szCs w:val="24"/>
        </w:rPr>
        <w:t xml:space="preserve">"В случае если сторонами будет согласовано, что выполнение оператором обмена виртуальных активов своей обязанности передать клиенту денежные средства, электронные деньги или виртуальные активы производится только после выполнения клиентом своей обязанности передать оператору обмена виртуальных активов денежные средства, электронные деньги или виртуальные активы (в зависимости от вида совершенной сделки с виртуальными активами), оператор обмена виртуальных активов обязан обеспечить возможность идентификации назначения полученных им от клиента денежных средств, электронных денег или виртуальных активов клиента (то есть возможность однозначного определения заявки, в рамках которой клиент передал оператору обмена виртуальных активов данные денежные средства, электронные деньги или виртуальные активы).";</w:t>
      </w:r>
    </w:p>
    <w:p>
      <w:pPr>
        <w:spacing w:after="120"/>
        <w:ind w:firstLine="567"/>
        <w:jc w:val="both"/>
      </w:pPr>
      <w:r>
        <w:rPr>
          <w:rFonts w:ascii="Arial" w:cs="Arial" w:eastAsia="Arial" w:hAnsi="Arial"/>
          <w:sz w:val="24"/>
          <w:szCs w:val="24"/>
        </w:rPr>
        <w:t xml:space="preserve">- пункт 27 дополнить абзацами следующего содержания:</w:t>
      </w:r>
    </w:p>
    <w:p>
      <w:pPr>
        <w:spacing w:after="120"/>
        <w:ind w:firstLine="567"/>
        <w:jc w:val="both"/>
      </w:pPr>
      <w:r>
        <w:rPr>
          <w:rFonts w:ascii="Arial" w:cs="Arial" w:eastAsia="Arial" w:hAnsi="Arial"/>
          <w:sz w:val="24"/>
          <w:szCs w:val="24"/>
        </w:rPr>
        <w:t xml:space="preserve">"Физическим и юридическим лицам - резидентам Кыргызской Республики, запрещается проведение операций с виртуальными активами через нелицензированных операторов обмена виртуальных активов.</w:t>
      </w:r>
    </w:p>
    <w:p>
      <w:pPr>
        <w:spacing w:after="120"/>
        <w:ind w:firstLine="567"/>
        <w:jc w:val="both"/>
      </w:pPr>
      <w:r>
        <w:rPr>
          <w:rFonts w:ascii="Arial" w:cs="Arial" w:eastAsia="Arial" w:hAnsi="Arial"/>
          <w:sz w:val="24"/>
          <w:szCs w:val="24"/>
        </w:rPr>
        <w:t xml:space="preserve">Операторам обмена виртуальных активов разрешается использовать крипто-банкоматы (автоматизированные системы обмена фиатных средств и виртуальных активов) в своей деятельности.</w:t>
      </w:r>
    </w:p>
    <w:p>
      <w:pPr>
        <w:spacing w:after="120"/>
        <w:ind w:firstLine="567"/>
        <w:jc w:val="both"/>
      </w:pPr>
      <w:r>
        <w:rPr>
          <w:rFonts w:ascii="Arial" w:cs="Arial" w:eastAsia="Arial" w:hAnsi="Arial"/>
          <w:sz w:val="24"/>
          <w:szCs w:val="24"/>
        </w:rPr>
        <w:t xml:space="preserve">Крипто-банкоматами могут пользоваться только идентифицированные пользователи. Идентификация пользователей осуществляется в соответствии с требованиями законодательства в сфере противодействия финансированию террористической деятельности и легализации (отмыванию) преступных доходов и в сфере оборота виртуальных активов, а также внутренними процедурами оператора обмена виртуальных активов.</w:t>
      </w:r>
    </w:p>
    <w:p>
      <w:pPr>
        <w:spacing w:after="120"/>
        <w:ind w:firstLine="567"/>
        <w:jc w:val="both"/>
      </w:pPr>
      <w:r>
        <w:rPr>
          <w:rFonts w:ascii="Arial" w:cs="Arial" w:eastAsia="Arial" w:hAnsi="Arial"/>
          <w:sz w:val="24"/>
          <w:szCs w:val="24"/>
        </w:rPr>
        <w:t xml:space="preserve">Оператор обмена виртуальных активов обязан обеспечивать защиту и конфиденциальность данных, полученных в процессе идентификации пользователей, в соответствии с требованиями законодательства о защите персональных данных.</w:t>
      </w:r>
    </w:p>
    <w:p>
      <w:pPr>
        <w:spacing w:after="120"/>
        <w:ind w:firstLine="567"/>
        <w:jc w:val="both"/>
      </w:pPr>
      <w:r>
        <w:rPr>
          <w:rFonts w:ascii="Arial" w:cs="Arial" w:eastAsia="Arial" w:hAnsi="Arial"/>
          <w:sz w:val="24"/>
          <w:szCs w:val="24"/>
        </w:rPr>
        <w:t xml:space="preserve">Операторы обмена виртуальных активов обязаны предусмотреть меры технической и организационной защиты, предотвращающей возможность несанкционированного доступа к крипто-банкоматам и их использование неопознанными лицами.";</w:t>
      </w:r>
    </w:p>
    <w:p>
      <w:pPr>
        <w:spacing w:after="120"/>
        <w:ind w:firstLine="567"/>
        <w:jc w:val="both"/>
      </w:pPr>
      <w:r>
        <w:rPr>
          <w:rFonts w:ascii="Arial" w:cs="Arial" w:eastAsia="Arial" w:hAnsi="Arial"/>
          <w:sz w:val="24"/>
          <w:szCs w:val="24"/>
        </w:rPr>
        <w:t xml:space="preserve">- в пункте 28 цифры "400000" заменить цифрами "1000000";</w:t>
      </w:r>
    </w:p>
    <w:p>
      <w:pPr>
        <w:spacing w:after="120"/>
        <w:ind w:firstLine="567"/>
        <w:jc w:val="both"/>
      </w:pPr>
      <w:r>
        <w:rPr>
          <w:rFonts w:ascii="Arial" w:cs="Arial" w:eastAsia="Arial" w:hAnsi="Arial"/>
          <w:sz w:val="24"/>
          <w:szCs w:val="24"/>
        </w:rPr>
        <w:t xml:space="preserve">- пункт 31 изложить в следующей редакции:</w:t>
      </w:r>
    </w:p>
    <w:p>
      <w:pPr>
        <w:spacing w:after="120"/>
        <w:ind w:firstLine="567"/>
        <w:jc w:val="both"/>
      </w:pPr>
      <w:r>
        <w:rPr>
          <w:rFonts w:ascii="Arial" w:cs="Arial" w:eastAsia="Arial" w:hAnsi="Arial"/>
          <w:sz w:val="24"/>
          <w:szCs w:val="24"/>
        </w:rPr>
        <w:t xml:space="preserve">"31. Для получения лицензии на ведение деятельности в качестве поставщика услуг виртуальных активов, осуществляемой оператором обмена виртуальных активов, юридическое лицо представляет в уполномоченный орган следующие документы/сведения в одном экземпляре на государственном или официальном языке:</w:t>
      </w:r>
    </w:p>
    <w:p>
      <w:pPr>
        <w:spacing w:after="120"/>
        <w:ind w:firstLine="567"/>
        <w:jc w:val="both"/>
      </w:pPr>
      <w:r>
        <w:rPr>
          <w:rFonts w:ascii="Arial" w:cs="Arial" w:eastAsia="Arial" w:hAnsi="Arial"/>
          <w:sz w:val="24"/>
          <w:szCs w:val="24"/>
        </w:rPr>
        <w:t xml:space="preserve">1) заявление о выдаче лицензии с указанием наименования и организационно-правовой формы юридического лица, его местонахождения (почтового адреса), адреса электронной почты, наименования учреждения банка и номера депозитного и/или расчетного счета в учреждении банка;</w:t>
      </w:r>
    </w:p>
    <w:p>
      <w:pPr>
        <w:spacing w:after="120"/>
        <w:ind w:firstLine="567"/>
        <w:jc w:val="both"/>
      </w:pPr>
      <w:r>
        <w:rPr>
          <w:rFonts w:ascii="Arial" w:cs="Arial" w:eastAsia="Arial" w:hAnsi="Arial"/>
          <w:sz w:val="24"/>
          <w:szCs w:val="24"/>
        </w:rPr>
        <w:t xml:space="preserve">2) копии учредительных документов юридического лица, заверенные нотариально (устава и учредительного договора (при наличии более одного учредителя); решений о создании юридического лица, о размере уставного капитала, об избрании совета директоров (при наличии) и исполнительных органов управления);</w:t>
      </w:r>
    </w:p>
    <w:p>
      <w:pPr>
        <w:spacing w:after="120"/>
        <w:ind w:firstLine="567"/>
        <w:jc w:val="both"/>
      </w:pPr>
      <w:r>
        <w:rPr>
          <w:rFonts w:ascii="Arial" w:cs="Arial" w:eastAsia="Arial" w:hAnsi="Arial"/>
          <w:sz w:val="24"/>
          <w:szCs w:val="24"/>
        </w:rPr>
        <w:t xml:space="preserve">3) документы/сведения по участникам/акционерам/учредителям - физическим лицам и бенефициарным владельцам юридического лица (схематическое изображение структуры собственности юридического лица, которое позволяет установить конечных бенефициарных владельцев юридического лица; информация о владельцах пяти и более процентов акций/долей в капитале юридического лица, содержащая идентификационные данные таких лиц, количество и процент акций/долей в капитале, которыми обладает каждый такой участник/акционер/учредитель; копия паспорта (копия ID-паспорта для резидента, для нерезидента - копия паспорта гражданина иностранного государства); справка об отсутствии задолженности по уплате налогов и/или копия декларации о доходах, социальных отчислениях на дату подачи документов в форме, предусмотренной законодательством Кыргызской Республики в области налогообложения (для физического лица - нерезидента необходимо предоставить аналогичные документы в соответствии с законодательством страны происхождения); справка об отсутствии судимости);</w:t>
      </w:r>
    </w:p>
    <w:p>
      <w:pPr>
        <w:spacing w:after="120"/>
        <w:ind w:firstLine="567"/>
        <w:jc w:val="both"/>
      </w:pPr>
      <w:r>
        <w:rPr>
          <w:rFonts w:ascii="Arial" w:cs="Arial" w:eastAsia="Arial" w:hAnsi="Arial"/>
          <w:sz w:val="24"/>
          <w:szCs w:val="24"/>
        </w:rPr>
        <w:t xml:space="preserve">4) документы должностных лиц юридического лица (копия паспорта (копия ID-паспорта для резидента, для нерезидента - копия паспорта гражданина иностранного государства); справка об отсутствии задолженности по уплате налогов и/или копия декларации о доходах, социальных отчислениях на дату подачи документов в форме, предусмотренной законодательством Кыргызской Республики в области налогообложения (для физического лица - нерезидента необходимо предоставить аналогичные документы в соответствии с законодательством страны происхождения); справка об отсутствии судимости; актуальную биографию с указанием образования, полученных дипломов, соответствующих курсов профессиональной подготовки, которые он/она прошел/прошла, профессионального опыта, включая, в частности, названия всех организаций, в которых он/она работал/работала, характер и продолжительность занимаемых должностей, деловой репутации);</w:t>
      </w:r>
    </w:p>
    <w:p>
      <w:pPr>
        <w:spacing w:after="120"/>
        <w:ind w:firstLine="567"/>
        <w:jc w:val="both"/>
      </w:pPr>
      <w:r>
        <w:rPr>
          <w:rFonts w:ascii="Arial" w:cs="Arial" w:eastAsia="Arial" w:hAnsi="Arial"/>
          <w:sz w:val="24"/>
          <w:szCs w:val="24"/>
        </w:rPr>
        <w:t xml:space="preserve">5) заполненные и подписанные участниками/акционерами/учредителями, должностными лицами и бенефициарными владельцами юридического лица анкеты по форме согласно приложениям </w:t>
      </w:r>
      <w:r>
        <w:rPr>
          <w:rFonts w:ascii="Arial" w:cs="Arial" w:eastAsia="Arial" w:hAnsi="Arial"/>
          <w:sz w:val="24"/>
          <w:szCs w:val="24"/>
        </w:rPr>
        <w:t xml:space="preserve">1 </w:t>
      </w:r>
      <w:r>
        <w:rPr>
          <w:rFonts w:ascii="Arial" w:cs="Arial" w:eastAsia="Arial" w:hAnsi="Arial"/>
          <w:sz w:val="24"/>
          <w:szCs w:val="24"/>
        </w:rPr>
        <w:t xml:space="preserve">и </w:t>
      </w:r>
      <w:r>
        <w:rPr>
          <w:rFonts w:ascii="Arial" w:cs="Arial" w:eastAsia="Arial" w:hAnsi="Arial"/>
          <w:sz w:val="24"/>
          <w:szCs w:val="24"/>
        </w:rPr>
        <w:t xml:space="preserve">2 </w:t>
      </w:r>
      <w:r>
        <w:rPr>
          <w:rFonts w:ascii="Arial" w:cs="Arial" w:eastAsia="Arial" w:hAnsi="Arial"/>
          <w:sz w:val="24"/>
          <w:szCs w:val="24"/>
        </w:rPr>
        <w:t xml:space="preserve">к настоящему Положению либо сканированные копии заполненных анкет с последующим предоставлением оригинала;</w:t>
      </w:r>
    </w:p>
    <w:p>
      <w:pPr>
        <w:spacing w:after="120"/>
        <w:ind w:firstLine="567"/>
        <w:jc w:val="both"/>
      </w:pPr>
      <w:r>
        <w:rPr>
          <w:rFonts w:ascii="Arial" w:cs="Arial" w:eastAsia="Arial" w:hAnsi="Arial"/>
          <w:sz w:val="24"/>
          <w:szCs w:val="24"/>
        </w:rPr>
        <w:t xml:space="preserve">6) копии внутренних документов/политик/процедур юридического лица, связанных с корпоративным управлением и менеджментом (документы должны быть прошиты, пронумерованы, заверены печатью и подписью руководителя юридического лица), описывающие политику внутреннего управления; политику внутреннего контроля; организационную/функциональную схему; политику управления рисками; общую матрицу рисков; реестр внутренних политик/процедур; порядок действий при возникновении нештатных ситуаций; руководство и материалы по обучению; порядок движения денежных средств, проходящих через агентов; детальное описание механизмов по управлению справочниками отправителей и получателей по проверке клиентов по международному и национальному перечням лиц, причастных к террористической и экстремистской деятельности или распространению оружия массового уничтожения; правила оператора обмена виртуальных активов;</w:t>
      </w:r>
    </w:p>
    <w:p>
      <w:pPr>
        <w:spacing w:after="120"/>
        <w:ind w:firstLine="567"/>
        <w:jc w:val="both"/>
      </w:pPr>
      <w:r>
        <w:rPr>
          <w:rFonts w:ascii="Arial" w:cs="Arial" w:eastAsia="Arial" w:hAnsi="Arial"/>
          <w:sz w:val="24"/>
          <w:szCs w:val="24"/>
        </w:rPr>
        <w:t xml:space="preserve">7) документы/сведения, связанные с финансовыми вопросами юридического лица (программа/план операционных действий; бизнес-план (технико-экономическое обоснование), содержащие как минимум определение целей при оказании услуг, связанных с виртуальными активами, прогнозные расчеты экономических результатов, ожидаемых от оказания данных услуг как минимум на 3 (три) года; блок-схему для каждой услуги, предоставляемой юридическим лицом (схема, визуализирующая последовательность шагов/процессов, которые происходят при предоставлении конкретной услуги клиентам/пользователям); политика и план обеспечения непрерывности деятельности; копия договора на открытие расчетного счета в банке для хранения и использования денежных средств от клиентов и от своих агентов за оказание услуг, связанных с виртуальными активами, а также отдельного счета для хозяйственной деятельности юридического лица; документ, подтверждающий внесение денежных средств в качестве уставного капитала согласно настоящему Положению; финансовая отчетность на последнюю отчетную дату, переданная в налоговые органы, заверенная печатью и подписью руководителя юридического лица);</w:t>
      </w:r>
    </w:p>
    <w:p>
      <w:pPr>
        <w:spacing w:after="120"/>
        <w:ind w:firstLine="567"/>
        <w:jc w:val="both"/>
      </w:pPr>
      <w:r>
        <w:rPr>
          <w:rFonts w:ascii="Arial" w:cs="Arial" w:eastAsia="Arial" w:hAnsi="Arial"/>
          <w:sz w:val="24"/>
          <w:szCs w:val="24"/>
        </w:rPr>
        <w:t xml:space="preserve">8) сведения/документы о ресурсах юридического лица (описание кадровых и технических ресурсов, выделенных на запланированную деятельность; кадровый и технический прогноз по каждому виду деятельности; акт установки и введения в промышленную эксплуатацию платформы, размещенной на серверах, один из которых (основной сервер) должен находиться на территории Кыргызской Республики, а другой (запасной сервер) в целях защиты программного обеспечения и защиты от кибератак - на территории иностранного государства);</w:t>
      </w:r>
    </w:p>
    <w:p>
      <w:pPr>
        <w:spacing w:after="120"/>
        <w:ind w:firstLine="567"/>
        <w:jc w:val="both"/>
      </w:pPr>
      <w:r>
        <w:rPr>
          <w:rFonts w:ascii="Arial" w:cs="Arial" w:eastAsia="Arial" w:hAnsi="Arial"/>
          <w:sz w:val="24"/>
          <w:szCs w:val="24"/>
        </w:rPr>
        <w:t xml:space="preserve">9) документы/сведения по системе противодействия финансированию террористической деятельности и легализации (отмыванию) преступных доходов юридического лица (руководство по противодействию финансированию террористической деятельности и легализации (отмыванию) преступных доходов; процедуры должной осмотрительности, идентификации и верификации клиентов; политика принятия клиентов в рамках противодействия финансированию террористической деятельности и легализации (отмыванию) преступных доходов; процедуры мониторинга клиентов и транзакций в рамках противодействия финансированию террористической деятельности и легализации (отмыванию) преступных доходов; руководство по обучению в области противодействия финансированию террористической деятельности и легализации (отмыванию) преступных доходов; соглашения с поставщиками услуг в области противодействия финансированию террористической деятельности и легализации (отмыванию) преступных доходов; матрица рисков финансирования террористической деятельности и легализации (отмыванию) преступных доходов; функциональные возможности инструментов для оценки рисков, связанных с финансированием террористической деятельности и легализацией (отмыванием) преступных доходов; сценарии противодействия финансированию террористической деятельности и легализации (отмыванию) преступных доходов, реализованные в инструментах; объем предупреждений о противодействии финансированию террористической деятельности и легализации (отмыванию) преступных доходов и количество клиентов, классифицированных по уровню рисков);</w:t>
      </w:r>
    </w:p>
    <w:p>
      <w:pPr>
        <w:spacing w:after="120"/>
        <w:ind w:firstLine="567"/>
        <w:jc w:val="both"/>
      </w:pPr>
      <w:r>
        <w:rPr>
          <w:rFonts w:ascii="Arial" w:cs="Arial" w:eastAsia="Arial" w:hAnsi="Arial"/>
          <w:sz w:val="24"/>
          <w:szCs w:val="24"/>
        </w:rPr>
        <w:t xml:space="preserve">10) документы по кибербезопасности и политике информационных технологий юридического лица (процедуры, регламентирующие порядок обеспечения информационной безопасности (кибербезопасности), - описание организации безопасности; политика обработки данных (внутренняя и внешняя); политика кибербезопасности; процедуры оценки и регистрации киберрисков; процедуры управления ключами криптокошельков; порядок обработки персональных данных клиентов);</w:t>
      </w:r>
    </w:p>
    <w:p>
      <w:pPr>
        <w:spacing w:after="120"/>
        <w:ind w:firstLine="567"/>
        <w:jc w:val="both"/>
      </w:pPr>
      <w:r>
        <w:rPr>
          <w:rFonts w:ascii="Arial" w:cs="Arial" w:eastAsia="Arial" w:hAnsi="Arial"/>
          <w:sz w:val="24"/>
          <w:szCs w:val="24"/>
        </w:rPr>
        <w:t xml:space="preserve">11) сведения/документы по документации клиентов юридического лица (общие положения и условия; порядок проведения претензионной работы; политика защиты прав клиентов/инвесторов; ценовая политика для клиентов; порядок возврата денежных средств клиентам);</w:t>
      </w:r>
    </w:p>
    <w:p>
      <w:pPr>
        <w:spacing w:after="120"/>
        <w:ind w:firstLine="567"/>
        <w:jc w:val="both"/>
      </w:pPr>
      <w:r>
        <w:rPr>
          <w:rFonts w:ascii="Arial" w:cs="Arial" w:eastAsia="Arial" w:hAnsi="Arial"/>
          <w:sz w:val="24"/>
          <w:szCs w:val="24"/>
        </w:rPr>
        <w:t xml:space="preserve">12) доверенность за подписью руководителя или иного уполномоченного лица в соответствии с учредительными документами, с оттиском печати, выданная представителю на получение лицензии в случае, если от имени юридического лица действует представитель по доверенности;</w:t>
      </w:r>
    </w:p>
    <w:p>
      <w:pPr>
        <w:spacing w:after="120"/>
        <w:ind w:firstLine="567"/>
        <w:jc w:val="both"/>
      </w:pPr>
      <w:r>
        <w:rPr>
          <w:rFonts w:ascii="Arial" w:cs="Arial" w:eastAsia="Arial" w:hAnsi="Arial"/>
          <w:sz w:val="24"/>
          <w:szCs w:val="24"/>
        </w:rPr>
        <w:t xml:space="preserve">13) данные о деловой репутации юридического лица;</w:t>
      </w:r>
    </w:p>
    <w:p>
      <w:pPr>
        <w:spacing w:after="120"/>
        <w:ind w:firstLine="567"/>
        <w:jc w:val="both"/>
      </w:pPr>
      <w:r>
        <w:rPr>
          <w:rFonts w:ascii="Arial" w:cs="Arial" w:eastAsia="Arial" w:hAnsi="Arial"/>
          <w:sz w:val="24"/>
          <w:szCs w:val="24"/>
        </w:rPr>
        <w:t xml:space="preserve">14) документ, подтверждающий оплату государственной пошлины за лицензию.</w:t>
      </w:r>
    </w:p>
    <w:p>
      <w:pPr>
        <w:spacing w:after="120"/>
        <w:ind w:firstLine="567"/>
        <w:jc w:val="both"/>
      </w:pPr>
      <w:r>
        <w:rPr>
          <w:rFonts w:ascii="Arial" w:cs="Arial" w:eastAsia="Arial" w:hAnsi="Arial"/>
          <w:sz w:val="24"/>
          <w:szCs w:val="24"/>
        </w:rPr>
        <w:t xml:space="preserve">Все документы должны быть подписаны руководителем, а в случае предоставления в виде электронного документа подтверждаются цифровой подписью.</w:t>
      </w:r>
    </w:p>
    <w:p>
      <w:pPr>
        <w:spacing w:after="120"/>
        <w:ind w:firstLine="567"/>
        <w:jc w:val="both"/>
      </w:pPr>
      <w:r>
        <w:rPr>
          <w:rFonts w:ascii="Arial" w:cs="Arial" w:eastAsia="Arial" w:hAnsi="Arial"/>
          <w:sz w:val="24"/>
          <w:szCs w:val="24"/>
        </w:rPr>
        <w:t xml:space="preserve">Операторы обмена виртуальных активов несут ответственность, установленную законодательством Кыргызской Республики в области административного права, за достоверность сведений, представленных в уполномоченный орган для получения лицензии, а также за своевременность уведомления уполномоченного органа об изменениях в сведениях.";</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главу 8</w:t>
      </w:r>
      <w:r>
        <w:rPr>
          <w:rFonts w:ascii="Arial" w:cs="Arial" w:eastAsia="Arial" w:hAnsi="Arial"/>
          <w:sz w:val="24"/>
          <w:szCs w:val="24"/>
        </w:rPr>
        <w:t xml:space="preserve"> дополнить пунктом 35-1 следующего содержания:</w:t>
      </w:r>
    </w:p>
    <w:p>
      <w:pPr>
        <w:spacing w:after="120"/>
        <w:ind w:firstLine="567"/>
        <w:jc w:val="both"/>
      </w:pPr>
      <w:r>
        <w:rPr>
          <w:rFonts w:ascii="Arial" w:cs="Arial" w:eastAsia="Arial" w:hAnsi="Arial"/>
          <w:sz w:val="24"/>
          <w:szCs w:val="24"/>
        </w:rPr>
        <w:t xml:space="preserve">"35-1. Операторы обмена виртуальных активов обязаны уведомлять уполномоченный орган об изменениях данных, указанных в документах, прилагаемых к заявлению на выдачу лицензии, не являющихся основанием для перерегистрации лицензии. Уведомление предоставляется в письменной форме не позднее 10 (десяти) рабочих дней после возникновения изменений вместе с оригиналами документов или их копиями (с представлением оригиналов для сверки), подтверждающими указанные изменения. Уполномоченный орган вносит соответствующие изменения в Реестр операторов обмена виртуальных активов в течение 3 (три) рабочих дней с даты поступления уведомления.";</w:t>
      </w:r>
    </w:p>
    <w:p>
      <w:pPr>
        <w:spacing w:after="120"/>
        <w:ind w:firstLine="567"/>
        <w:jc w:val="both"/>
      </w:pPr>
      <w:r>
        <w:rPr>
          <w:rFonts w:ascii="Arial" w:cs="Arial" w:eastAsia="Arial" w:hAnsi="Arial"/>
          <w:sz w:val="24"/>
          <w:szCs w:val="24"/>
        </w:rPr>
        <w:t xml:space="preserve">- абзац первый пункта 37 после слова "ежеквартально" дополнить словами "не позднее 10 рабочих дней после даты окончания отчетного периода";</w:t>
      </w:r>
    </w:p>
    <w:p>
      <w:pPr>
        <w:spacing w:after="120"/>
        <w:ind w:firstLine="567"/>
        <w:jc w:val="both"/>
      </w:pPr>
      <w:r>
        <w:rPr>
          <w:rFonts w:ascii="Arial" w:cs="Arial" w:eastAsia="Arial" w:hAnsi="Arial"/>
          <w:sz w:val="24"/>
          <w:szCs w:val="24"/>
        </w:rPr>
        <w:t xml:space="preserve">- дополнить пунктом 38 следующего содержания:</w:t>
      </w:r>
    </w:p>
    <w:p>
      <w:pPr>
        <w:spacing w:after="120"/>
        <w:ind w:firstLine="567"/>
        <w:jc w:val="both"/>
      </w:pPr>
      <w:r>
        <w:rPr>
          <w:rFonts w:ascii="Arial" w:cs="Arial" w:eastAsia="Arial" w:hAnsi="Arial"/>
          <w:sz w:val="24"/>
          <w:szCs w:val="24"/>
        </w:rPr>
        <w:t xml:space="preserve">"38. Деятельность оператора обмена виртуальных активов подлежит ежегодной внешней аудиторской проверке согласно законодательству Кыргызской Республики в области аудиторской деятельности и международным стандартам аудита.</w:t>
      </w:r>
    </w:p>
    <w:p>
      <w:pPr>
        <w:spacing w:after="120"/>
        <w:ind w:firstLine="567"/>
        <w:jc w:val="both"/>
      </w:pPr>
      <w:r>
        <w:rPr>
          <w:rFonts w:ascii="Arial" w:cs="Arial" w:eastAsia="Arial" w:hAnsi="Arial"/>
          <w:sz w:val="24"/>
          <w:szCs w:val="24"/>
        </w:rPr>
        <w:t xml:space="preserve">Внешним аудитором оператора обмена виртуальных активов может быть только аудиторская организация, включенная в Единый государственный реестр аудиторов, аудиторских организаций и профессиональных аудиторских объединений на территории Кыргызской Республики.</w:t>
      </w:r>
    </w:p>
    <w:p>
      <w:pPr>
        <w:spacing w:after="120"/>
        <w:ind w:firstLine="567"/>
        <w:jc w:val="both"/>
      </w:pPr>
      <w:r>
        <w:rPr>
          <w:rFonts w:ascii="Arial" w:cs="Arial" w:eastAsia="Arial" w:hAnsi="Arial"/>
          <w:sz w:val="24"/>
          <w:szCs w:val="24"/>
        </w:rPr>
        <w:t xml:space="preserve">По завершении финансового года оператор обмена виртуальных активов обязан:</w:t>
      </w:r>
    </w:p>
    <w:p>
      <w:pPr>
        <w:spacing w:after="120"/>
        <w:ind w:firstLine="567"/>
        <w:jc w:val="both"/>
      </w:pPr>
      <w:r>
        <w:rPr>
          <w:rFonts w:ascii="Arial" w:cs="Arial" w:eastAsia="Arial" w:hAnsi="Arial"/>
          <w:sz w:val="24"/>
          <w:szCs w:val="24"/>
        </w:rPr>
        <w:t xml:space="preserve">- обеспечить проведение внешнего аудита оператора обмена виртуальных активов в срок не позднее девяноста дней с начала нового финансового года;</w:t>
      </w:r>
    </w:p>
    <w:p>
      <w:pPr>
        <w:spacing w:after="120"/>
        <w:ind w:firstLine="567"/>
        <w:jc w:val="both"/>
      </w:pPr>
      <w:r>
        <w:rPr>
          <w:rFonts w:ascii="Arial" w:cs="Arial" w:eastAsia="Arial" w:hAnsi="Arial"/>
          <w:sz w:val="24"/>
          <w:szCs w:val="24"/>
        </w:rPr>
        <w:t xml:space="preserve">- представить уполномоченному органу заверенную копию аудиторского заключения вместе с финансовой отчетностью и письмом аудитора к руководству оператора обмена виртуальных активов в срок не позднее ста пяти дней с начала нового финансового года.";</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приложение </w:t>
      </w:r>
      <w:r>
        <w:rPr>
          <w:rFonts w:ascii="Arial" w:cs="Arial" w:eastAsia="Arial" w:hAnsi="Arial"/>
          <w:sz w:val="24"/>
          <w:szCs w:val="24"/>
        </w:rPr>
        <w:t xml:space="preserve">к вышеуказанному Положению изложить в редакции согласно </w:t>
      </w:r>
      <w:r>
        <w:rPr>
          <w:rFonts w:ascii="Arial" w:cs="Arial" w:eastAsia="Arial" w:hAnsi="Arial"/>
          <w:sz w:val="24"/>
          <w:szCs w:val="24"/>
        </w:rPr>
        <w:t xml:space="preserve">приложению 3 </w:t>
      </w:r>
      <w:r>
        <w:rPr>
          <w:rFonts w:ascii="Arial" w:cs="Arial" w:eastAsia="Arial" w:hAnsi="Arial"/>
          <w:sz w:val="24"/>
          <w:szCs w:val="24"/>
        </w:rPr>
        <w:t xml:space="preserve">к настоящему постановлению;</w:t>
      </w:r>
    </w:p>
    <w:p>
      <w:pPr>
        <w:spacing w:after="120"/>
        <w:ind w:firstLine="567"/>
        <w:jc w:val="both"/>
      </w:pPr>
      <w:r>
        <w:rPr>
          <w:rFonts w:ascii="Arial" w:cs="Arial" w:eastAsia="Arial" w:hAnsi="Arial"/>
          <w:sz w:val="24"/>
          <w:szCs w:val="24"/>
        </w:rPr>
        <w:t xml:space="preserve">- дополнить вышеуказанное Положение </w:t>
      </w:r>
      <w:r>
        <w:rPr>
          <w:rFonts w:ascii="Arial" w:cs="Arial" w:eastAsia="Arial" w:hAnsi="Arial"/>
          <w:sz w:val="24"/>
          <w:szCs w:val="24"/>
        </w:rPr>
        <w:t xml:space="preserve">приложением 2</w:t>
      </w:r>
      <w:r>
        <w:rPr>
          <w:rFonts w:ascii="Arial" w:cs="Arial" w:eastAsia="Arial" w:hAnsi="Arial"/>
          <w:sz w:val="24"/>
          <w:szCs w:val="24"/>
        </w:rPr>
        <w:t xml:space="preserve"> в редакции согласно </w:t>
      </w:r>
      <w:r>
        <w:rPr>
          <w:rFonts w:ascii="Arial" w:cs="Arial" w:eastAsia="Arial" w:hAnsi="Arial"/>
          <w:sz w:val="24"/>
          <w:szCs w:val="24"/>
        </w:rPr>
        <w:t xml:space="preserve">приложению 4</w:t>
      </w:r>
      <w:r>
        <w:rPr>
          <w:rFonts w:ascii="Arial" w:cs="Arial" w:eastAsia="Arial" w:hAnsi="Arial"/>
          <w:sz w:val="24"/>
          <w:szCs w:val="24"/>
        </w:rPr>
        <w:t xml:space="preserve"> к настоящему постановлению;</w:t>
      </w:r>
    </w:p>
    <w:p>
      <w:pPr>
        <w:spacing w:after="120"/>
        <w:ind w:firstLine="567"/>
        <w:jc w:val="both"/>
      </w:pPr>
      <w:r>
        <w:rPr>
          <w:rFonts w:ascii="Arial" w:cs="Arial" w:eastAsia="Arial" w:hAnsi="Arial"/>
          <w:sz w:val="24"/>
          <w:szCs w:val="24"/>
        </w:rPr>
        <w:t xml:space="preserve">5) в </w:t>
      </w:r>
      <w:r>
        <w:rPr>
          <w:rFonts w:ascii="Arial" w:cs="Arial" w:eastAsia="Arial" w:hAnsi="Arial"/>
          <w:sz w:val="24"/>
          <w:szCs w:val="24"/>
        </w:rPr>
        <w:t xml:space="preserve">Порядке </w:t>
      </w:r>
      <w:r>
        <w:rPr>
          <w:rFonts w:ascii="Arial" w:cs="Arial" w:eastAsia="Arial" w:hAnsi="Arial"/>
          <w:sz w:val="24"/>
          <w:szCs w:val="24"/>
        </w:rPr>
        <w:t xml:space="preserve">регистрации и выдачи сертификата для деятельности по осуществлению майнинга,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главу </w:t>
      </w:r>
      <w:r>
        <w:rPr>
          <w:rFonts w:ascii="Arial" w:cs="Arial" w:eastAsia="Arial" w:hAnsi="Arial"/>
          <w:sz w:val="24"/>
          <w:szCs w:val="24"/>
        </w:rPr>
        <w:t xml:space="preserve">4</w:t>
      </w:r>
      <w:r>
        <w:rPr>
          <w:rFonts w:ascii="Arial" w:cs="Arial" w:eastAsia="Arial" w:hAnsi="Arial"/>
          <w:sz w:val="24"/>
          <w:szCs w:val="24"/>
        </w:rPr>
        <w:t xml:space="preserve"> дополнить пунктом 11-1 следующего содержания:</w:t>
      </w:r>
    </w:p>
    <w:p>
      <w:pPr>
        <w:spacing w:after="120"/>
        <w:ind w:firstLine="567"/>
        <w:jc w:val="both"/>
      </w:pPr>
      <w:r>
        <w:rPr>
          <w:rFonts w:ascii="Arial" w:cs="Arial" w:eastAsia="Arial" w:hAnsi="Arial"/>
          <w:sz w:val="24"/>
          <w:szCs w:val="24"/>
        </w:rPr>
        <w:t xml:space="preserve">"11-1. Заявитель несет ответственность, установленную законодательством Кыргызской Республики в области административного права, за достоверность сведений, представленных в уполномоченный орган для получения лицензии, а также за своевременность уведомления уполномоченного органа об изменениях в сведениях.";</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главу 6</w:t>
      </w:r>
      <w:r>
        <w:rPr>
          <w:rFonts w:ascii="Arial" w:cs="Arial" w:eastAsia="Arial" w:hAnsi="Arial"/>
          <w:sz w:val="24"/>
          <w:szCs w:val="24"/>
        </w:rPr>
        <w:t xml:space="preserve"> дополнить пунктом 21-1 следующего содержания:</w:t>
      </w:r>
    </w:p>
    <w:p>
      <w:pPr>
        <w:spacing w:after="120"/>
        <w:ind w:firstLine="567"/>
        <w:jc w:val="both"/>
      </w:pPr>
      <w:r>
        <w:rPr>
          <w:rFonts w:ascii="Arial" w:cs="Arial" w:eastAsia="Arial" w:hAnsi="Arial"/>
          <w:sz w:val="24"/>
          <w:szCs w:val="24"/>
        </w:rPr>
        <w:t xml:space="preserve">"21-1. Майнеры обязаны уведомлять уполномоченный орган об изменениях данных, указанных в документах, прилагаемых к заявлению на выдачу сертификата, не являющихся основанием для перерегистрации сертификата. Уведомление предоставляется в письменной форме не позднее 10 (десяти) рабочих дней после возникновения изменений вместе с оригиналами документов или их копиями (с представлением оригиналов для сверки), подтверждающими указанные изменения. Уполномоченный орган вносит соответствующие изменения в Электронный реестр майнеров в течение 3 рабочих дней с даты поступления уведомления.";</w:t>
      </w:r>
    </w:p>
    <w:p>
      <w:pPr>
        <w:spacing w:after="120"/>
        <w:ind w:firstLine="567"/>
        <w:jc w:val="both"/>
      </w:pPr>
      <w:r>
        <w:rPr>
          <w:rFonts w:ascii="Arial" w:cs="Arial" w:eastAsia="Arial" w:hAnsi="Arial"/>
          <w:sz w:val="24"/>
          <w:szCs w:val="24"/>
        </w:rPr>
        <w:t xml:space="preserve">- дополнить </w:t>
      </w:r>
      <w:r>
        <w:rPr>
          <w:rFonts w:ascii="Arial" w:cs="Arial" w:eastAsia="Arial" w:hAnsi="Arial"/>
          <w:sz w:val="24"/>
          <w:szCs w:val="24"/>
        </w:rPr>
        <w:t xml:space="preserve">главой 9</w:t>
      </w:r>
      <w:r>
        <w:rPr>
          <w:rFonts w:ascii="Arial" w:cs="Arial" w:eastAsia="Arial" w:hAnsi="Arial"/>
          <w:sz w:val="24"/>
          <w:szCs w:val="24"/>
        </w:rPr>
        <w:t xml:space="preserve"> следующего содержания: "</w:t>
      </w:r>
      <w:r>
        <w:rPr>
          <w:rFonts w:ascii="Arial" w:cs="Arial" w:eastAsia="Arial" w:hAnsi="Arial"/>
          <w:sz w:val="24"/>
          <w:szCs w:val="24"/>
        </w:rPr>
        <w:t xml:space="preserve">9. </w:t>
      </w:r>
      <w:r>
        <w:rPr>
          <w:rFonts w:ascii="Arial" w:cs="Arial" w:eastAsia="Arial" w:hAnsi="Arial"/>
          <w:sz w:val="24"/>
          <w:szCs w:val="24"/>
        </w:rPr>
        <w:t xml:space="preserve">Учет и отчетность</w:t>
      </w:r>
    </w:p>
    <w:p>
      <w:pPr>
        <w:spacing w:after="120"/>
        <w:ind w:firstLine="567"/>
        <w:jc w:val="both"/>
      </w:pPr>
      <w:r>
        <w:rPr>
          <w:rFonts w:ascii="Arial" w:cs="Arial" w:eastAsia="Arial" w:hAnsi="Arial"/>
          <w:sz w:val="24"/>
          <w:szCs w:val="24"/>
        </w:rPr>
        <w:t xml:space="preserve">25. Майнеры обязаны ежемесячно представлять в уполномоченный орган оперативную отчетность. Форма отчетности утверждается приказом уполномоченного органа.</w:t>
      </w:r>
    </w:p>
    <w:p>
      <w:pPr>
        <w:spacing w:after="120"/>
        <w:ind w:firstLine="567"/>
        <w:jc w:val="both"/>
      </w:pPr>
      <w:r>
        <w:rPr>
          <w:rFonts w:ascii="Arial" w:cs="Arial" w:eastAsia="Arial" w:hAnsi="Arial"/>
          <w:sz w:val="24"/>
          <w:szCs w:val="24"/>
        </w:rPr>
        <w:t xml:space="preserve">26. Майнеры обязаны ежеквартально не позднее 10 рабочих дней после окончания отчетного квартала представлять в уполномоченный орган финансовую отчетность, составленную в соответствии с международными стандартами финансовой отчетности.".</w:t>
      </w:r>
    </w:p>
    <w:p>
      <w:pPr>
        <w:spacing w:after="12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Опубликовано в газете "Эркин Тоо" от 10 января 2025 года № 1 (3657)</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Кабинета Министров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A.Касымалиев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1</w:t>
      </w:r>
      <w:r>
        <w:rPr>
          <w:rFonts w:ascii="Arial" w:cs="Arial" w:eastAsia="Arial" w:hAnsi="Arial"/>
          <w:sz w:val="24"/>
          <w:szCs w:val="24"/>
        </w:rPr>
        <w:t xml:space="preserve"> </w:t>
      </w:r>
      <w:r>
        <w:rPr>
          <w:rFonts w:ascii="Arial" w:cs="Arial" w:eastAsia="Arial" w:hAnsi="Arial"/>
          <w:sz w:val="24"/>
          <w:szCs w:val="24"/>
        </w:rPr>
        <w:t xml:space="preserve">к Положению об эмиссии (выпуске), обращении виртуальных активов и о порядке ведения Единого государственного реестра эмиссий виртуальных активов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РЕШЕНИЕ
 о выпуске и размещении виртуальных активов</w:t>
      </w:r>
    </w:p>
    <w:p>
      <w:pPr>
        <w:spacing w:after="120"/>
        <w:ind w:firstLine="567"/>
        <w:jc w:val="both"/>
      </w:pPr>
      <w:r>
        <w:rPr>
          <w:rFonts w:ascii="Arial" w:cs="Arial" w:eastAsia="Arial" w:hAnsi="Arial"/>
          <w:sz w:val="24"/>
          <w:szCs w:val="24"/>
        </w:rPr>
        <w:t xml:space="preserve">Полное наименование эмитента/ФИО эмитента: 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Местонахождение/место жительства эмитента: 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Контактные телефоны: _________________________________________________________________________________</w:t>
      </w:r>
    </w:p>
    <w:p>
      <w:pPr>
        <w:spacing w:after="120"/>
        <w:ind w:firstLine="567"/>
        <w:jc w:val="both"/>
      </w:pPr>
      <w:r>
        <w:rPr>
          <w:rFonts w:ascii="Arial" w:cs="Arial" w:eastAsia="Arial" w:hAnsi="Arial"/>
          <w:sz w:val="24"/>
          <w:szCs w:val="24"/>
        </w:rPr>
        <w:t xml:space="preserve">Сведения о государственной регистрации: 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(для юридических лиц и индивидуальных предпринимателей)</w:t>
      </w:r>
    </w:p>
    <w:p>
      <w:pPr>
        <w:spacing w:after="120"/>
        <w:ind w:firstLine="567"/>
        <w:jc w:val="both"/>
      </w:pPr>
      <w:r>
        <w:rPr>
          <w:rFonts w:ascii="Arial" w:cs="Arial" w:eastAsia="Arial" w:hAnsi="Arial"/>
          <w:sz w:val="24"/>
          <w:szCs w:val="24"/>
        </w:rPr>
        <w:t xml:space="preserve">Сведения о бенефициарном владельце: 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(для юридических лиц)</w:t>
      </w:r>
    </w:p>
    <w:p>
      <w:pPr>
        <w:spacing w:after="120"/>
        <w:ind w:firstLine="567"/>
        <w:jc w:val="both"/>
      </w:pPr>
      <w:r>
        <w:rPr>
          <w:rFonts w:ascii="Arial" w:cs="Arial" w:eastAsia="Arial" w:hAnsi="Arial"/>
          <w:sz w:val="24"/>
          <w:szCs w:val="24"/>
        </w:rPr>
        <w:t xml:space="preserve">Сведения об интернет-сайте эмитента, выпускающего виртуальные активы: ____________________________________</w:t>
      </w:r>
    </w:p>
    <w:p>
      <w:pPr>
        <w:spacing w:after="120"/>
        <w:ind w:firstLine="567"/>
        <w:jc w:val="both"/>
      </w:pPr>
      <w:r>
        <w:rPr>
          <w:rFonts w:ascii="Arial" w:cs="Arial" w:eastAsia="Arial" w:hAnsi="Arial"/>
          <w:sz w:val="24"/>
          <w:szCs w:val="24"/>
        </w:rPr>
        <w:t xml:space="preserve">ФИО эмитента ________________________________________________________________________________________</w:t>
      </w:r>
    </w:p>
    <w:p>
      <w:pPr>
        <w:spacing w:after="120"/>
        <w:ind w:firstLine="567"/>
        <w:jc w:val="both"/>
      </w:pPr>
      <w:r>
        <w:rPr>
          <w:rFonts w:ascii="Arial" w:cs="Arial" w:eastAsia="Arial" w:hAnsi="Arial"/>
          <w:sz w:val="24"/>
          <w:szCs w:val="24"/>
        </w:rPr>
        <w:t xml:space="preserve">                                                                         (для физического лица)</w:t>
      </w:r>
    </w:p>
    <w:p>
      <w:pPr>
        <w:spacing w:after="120"/>
        <w:ind w:firstLine="567"/>
        <w:jc w:val="both"/>
      </w:pPr>
      <w:r>
        <w:rPr>
          <w:rFonts w:ascii="Arial" w:cs="Arial" w:eastAsia="Arial" w:hAnsi="Arial"/>
          <w:sz w:val="24"/>
          <w:szCs w:val="24"/>
        </w:rPr>
        <w:t xml:space="preserve">подпись __________________________ "___" _____________________ 20___ г.</w:t>
      </w:r>
    </w:p>
    <w:p>
      <w:pPr>
        <w:spacing w:after="120"/>
        <w:ind w:firstLine="567"/>
        <w:jc w:val="both"/>
      </w:pPr>
      <w:r>
        <w:rPr>
          <w:rFonts w:ascii="Arial" w:cs="Arial" w:eastAsia="Arial" w:hAnsi="Arial"/>
          <w:sz w:val="24"/>
          <w:szCs w:val="24"/>
        </w:rPr>
        <w:t xml:space="preserve">Наименование должности руководителя эмитента: 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(для юридических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(подпись)                                                                                              (ФИО)</w:t>
      </w:r>
    </w:p>
    <w:p>
      <w:pPr>
        <w:spacing w:after="120" w:before="120"/>
        <w:ind w:firstLine="567"/>
        <w:jc w:val="both"/>
      </w:pPr>
      <w:r>
        <w:rPr>
          <w:rFonts w:ascii="Arial" w:cs="Arial" w:eastAsia="Arial" w:hAnsi="Arial"/>
          <w:sz w:val="24"/>
          <w:szCs w:val="24"/>
        </w:rPr>
        <w:t xml:space="preserve">(печать)</w:t>
      </w:r>
    </w:p>
    <w:p>
      <w:pPr>
        <w:spacing w:after="120"/>
        <w:ind w:firstLine="567"/>
        <w:jc w:val="both"/>
      </w:pPr>
      <w:r>
        <w:rPr>
          <w:rFonts w:ascii="Arial" w:cs="Arial" w:eastAsia="Arial" w:hAnsi="Arial"/>
          <w:sz w:val="24"/>
          <w:szCs w:val="24"/>
        </w:rPr>
        <w:t xml:space="preserve">Наименование должности руководителя управляющего залогом:</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(подпись)                                                                                              (ФИО)</w:t>
      </w:r>
    </w:p>
    <w:p>
      <w:pPr>
        <w:spacing w:after="120" w:before="120"/>
        <w:ind w:firstLine="567"/>
        <w:jc w:val="both"/>
      </w:pPr>
      <w:r>
        <w:rPr>
          <w:rFonts w:ascii="Arial" w:cs="Arial" w:eastAsia="Arial" w:hAnsi="Arial"/>
          <w:sz w:val="24"/>
          <w:szCs w:val="24"/>
        </w:rPr>
        <w:t xml:space="preserve">(печать)</w:t>
      </w:r>
    </w:p>
    <w:p>
      <w:pPr>
        <w:spacing w:after="120"/>
        <w:ind w:firstLine="567"/>
        <w:jc w:val="both"/>
      </w:pPr>
      <w:r>
        <w:rPr>
          <w:rFonts w:ascii="Arial" w:cs="Arial" w:eastAsia="Arial" w:hAnsi="Arial"/>
          <w:sz w:val="24"/>
          <w:szCs w:val="24"/>
        </w:rPr>
        <w:t xml:space="preserve">Информация, включаемая в решение о выпуске и размещении виртуальных активов:</w:t>
      </w:r>
    </w:p>
    <w:p>
      <w:pPr>
        <w:spacing w:after="120"/>
        <w:ind w:firstLine="567"/>
        <w:jc w:val="both"/>
      </w:pPr>
      <w:r>
        <w:rPr>
          <w:rFonts w:ascii="Arial" w:cs="Arial" w:eastAsia="Arial" w:hAnsi="Arial"/>
          <w:sz w:val="24"/>
          <w:szCs w:val="24"/>
        </w:rPr>
        <w:t xml:space="preserve">1. Вид виртуальных активов.</w:t>
      </w:r>
    </w:p>
    <w:p>
      <w:pPr>
        <w:spacing w:after="120"/>
        <w:ind w:firstLine="567"/>
        <w:jc w:val="both"/>
      </w:pPr>
      <w:r>
        <w:rPr>
          <w:rFonts w:ascii="Arial" w:cs="Arial" w:eastAsia="Arial" w:hAnsi="Arial"/>
          <w:sz w:val="24"/>
          <w:szCs w:val="24"/>
        </w:rPr>
        <w:t xml:space="preserve">2. Номинальная стоимость каждого виртуального актива выпуска.</w:t>
      </w:r>
    </w:p>
    <w:p>
      <w:pPr>
        <w:spacing w:after="120"/>
        <w:ind w:firstLine="567"/>
        <w:jc w:val="both"/>
      </w:pPr>
      <w:r>
        <w:rPr>
          <w:rFonts w:ascii="Arial" w:cs="Arial" w:eastAsia="Arial" w:hAnsi="Arial"/>
          <w:sz w:val="24"/>
          <w:szCs w:val="24"/>
        </w:rPr>
        <w:t xml:space="preserve">3. Количество виртуальных активов данного выпуска.</w:t>
      </w:r>
    </w:p>
    <w:p>
      <w:pPr>
        <w:spacing w:after="120"/>
        <w:ind w:firstLine="567"/>
        <w:jc w:val="both"/>
      </w:pPr>
      <w:r>
        <w:rPr>
          <w:rFonts w:ascii="Arial" w:cs="Arial" w:eastAsia="Arial" w:hAnsi="Arial"/>
          <w:sz w:val="24"/>
          <w:szCs w:val="24"/>
        </w:rPr>
        <w:t xml:space="preserve">4. Вид и объем прав владельца каждым виртуальным активом выпуска.</w:t>
      </w:r>
    </w:p>
    <w:p>
      <w:pPr>
        <w:spacing w:after="120"/>
        <w:ind w:firstLine="567"/>
        <w:jc w:val="both"/>
      </w:pPr>
      <w:r>
        <w:rPr>
          <w:rFonts w:ascii="Arial" w:cs="Arial" w:eastAsia="Arial" w:hAnsi="Arial"/>
          <w:sz w:val="24"/>
          <w:szCs w:val="24"/>
        </w:rPr>
        <w:t xml:space="preserve">5. Условия и порядок размещения виртуальных активов выпуска:</w:t>
      </w:r>
    </w:p>
    <w:p>
      <w:pPr>
        <w:spacing w:after="120"/>
        <w:ind w:firstLine="567"/>
        <w:jc w:val="both"/>
      </w:pPr>
      <w:r>
        <w:rPr>
          <w:rFonts w:ascii="Arial" w:cs="Arial" w:eastAsia="Arial" w:hAnsi="Arial"/>
          <w:sz w:val="24"/>
          <w:szCs w:val="24"/>
        </w:rPr>
        <w:t xml:space="preserve">- срок размещения виртуальных активов;</w:t>
      </w:r>
    </w:p>
    <w:p>
      <w:pPr>
        <w:spacing w:after="120"/>
        <w:ind w:firstLine="567"/>
        <w:jc w:val="both"/>
      </w:pPr>
      <w:r>
        <w:rPr>
          <w:rFonts w:ascii="Arial" w:cs="Arial" w:eastAsia="Arial" w:hAnsi="Arial"/>
          <w:sz w:val="24"/>
          <w:szCs w:val="24"/>
        </w:rPr>
        <w:t xml:space="preserve">- дата начала размещения виртуальных активов путем заключения договоров об их приобретении;</w:t>
      </w:r>
    </w:p>
    <w:p>
      <w:pPr>
        <w:spacing w:after="120"/>
        <w:ind w:firstLine="567"/>
        <w:jc w:val="both"/>
      </w:pPr>
      <w:r>
        <w:rPr>
          <w:rFonts w:ascii="Arial" w:cs="Arial" w:eastAsia="Arial" w:hAnsi="Arial"/>
          <w:sz w:val="24"/>
          <w:szCs w:val="24"/>
        </w:rPr>
        <w:t xml:space="preserve">- дата окончания размещения виртуальных активов.</w:t>
      </w:r>
    </w:p>
    <w:p>
      <w:pPr>
        <w:spacing w:after="120"/>
        <w:ind w:firstLine="567"/>
        <w:jc w:val="both"/>
      </w:pPr>
      <w:r>
        <w:rPr>
          <w:rFonts w:ascii="Arial" w:cs="Arial" w:eastAsia="Arial" w:hAnsi="Arial"/>
          <w:sz w:val="24"/>
          <w:szCs w:val="24"/>
        </w:rPr>
        <w:t xml:space="preserve">6. Срок размещения виртуальных активов определяется с указанием на даты раскрытия какой-либо информации
           о выпуске виртуальных активов.</w:t>
      </w:r>
    </w:p>
    <w:p>
      <w:pPr>
        <w:spacing w:after="120"/>
        <w:ind w:firstLine="567"/>
        <w:jc w:val="both"/>
      </w:pPr>
      <w:r>
        <w:rPr>
          <w:rFonts w:ascii="Arial" w:cs="Arial" w:eastAsia="Arial" w:hAnsi="Arial"/>
          <w:sz w:val="24"/>
          <w:szCs w:val="24"/>
        </w:rPr>
        <w:t xml:space="preserve">7. Цена (цены) или порядок определения цены размещения виртуальных активов.</w:t>
      </w:r>
    </w:p>
    <w:p>
      <w:pPr>
        <w:spacing w:after="120"/>
        <w:ind w:firstLine="567"/>
        <w:jc w:val="both"/>
      </w:pPr>
      <w:r>
        <w:rPr>
          <w:rFonts w:ascii="Arial" w:cs="Arial" w:eastAsia="Arial" w:hAnsi="Arial"/>
          <w:sz w:val="24"/>
          <w:szCs w:val="24"/>
        </w:rPr>
        <w:t xml:space="preserve">8. Условия и порядок оплаты виртуальных активов.</w:t>
      </w:r>
    </w:p>
    <w:p>
      <w:pPr>
        <w:spacing w:after="120"/>
        <w:jc w:val="both"/>
      </w:pPr>
      <w:r>
        <w:rPr>
          <w:rFonts w:ascii="Arial" w:cs="Arial" w:eastAsia="Arial" w:hAnsi="Arial"/>
          <w:sz w:val="24"/>
          <w:szCs w:val="24"/>
        </w:rPr>
        <w:t xml:space="preserve">9. Минимальное количество виртуальных активов, размещение которых предполагается в рамках данного предложения
 и необходимо эмитенту для признания выпуска виртуальных активов состоявшимся, а также порядок возврата средств,
 переданных в оплату виртуальных активов, в случае признания выпуска несостоявшимся.</w:t>
      </w:r>
    </w:p>
    <w:p>
      <w:pPr>
        <w:spacing w:after="120"/>
        <w:ind w:firstLine="567"/>
        <w:jc w:val="both"/>
      </w:pPr>
      <w:r>
        <w:rPr>
          <w:rFonts w:ascii="Arial" w:cs="Arial" w:eastAsia="Arial" w:hAnsi="Arial"/>
          <w:sz w:val="24"/>
          <w:szCs w:val="24"/>
        </w:rPr>
        <w:t xml:space="preserve">10. Название блокчейна.</w:t>
      </w:r>
    </w:p>
    <w:p>
      <w:pPr>
        <w:spacing w:after="120"/>
        <w:ind w:firstLine="567"/>
        <w:jc w:val="both"/>
      </w:pPr>
      <w:r>
        <w:rPr>
          <w:rFonts w:ascii="Arial" w:cs="Arial" w:eastAsia="Arial" w:hAnsi="Arial"/>
          <w:sz w:val="24"/>
          <w:szCs w:val="24"/>
        </w:rPr>
        <w:t xml:space="preserve">11. Адрес кошелька эмитента виртуальных активов и смарт-контракта.</w:t>
      </w:r>
    </w:p>
    <w:p>
      <w:pPr>
        <w:spacing w:after="120"/>
        <w:ind w:firstLine="567"/>
        <w:jc w:val="both"/>
      </w:pPr>
      <w:r>
        <w:rPr>
          <w:rFonts w:ascii="Arial" w:cs="Arial" w:eastAsia="Arial" w:hAnsi="Arial"/>
          <w:sz w:val="24"/>
          <w:szCs w:val="24"/>
        </w:rPr>
        <w:t xml:space="preserve">12. Сведения о стоимости имущества, выставляемого в обеспечение и залог выпуска виртуальных активов.</w:t>
      </w:r>
    </w:p>
    <w:p>
      <w:pPr>
        <w:spacing w:after="120"/>
        <w:ind w:firstLine="567"/>
        <w:jc w:val="both"/>
      </w:pPr>
      <w:r>
        <w:rPr>
          <w:rFonts w:ascii="Arial" w:cs="Arial" w:eastAsia="Arial" w:hAnsi="Arial"/>
          <w:sz w:val="24"/>
          <w:szCs w:val="24"/>
        </w:rPr>
        <w:t xml:space="preserve">13. Сведения об управляющем залогом.</w:t>
      </w:r>
    </w:p>
    <w:p>
      <w:pPr>
        <w:spacing w:after="120"/>
        <w:jc w:val="both"/>
      </w:pPr>
      <w:r>
        <w:rPr>
          <w:rFonts w:ascii="Arial" w:cs="Arial" w:eastAsia="Arial" w:hAnsi="Arial"/>
          <w:sz w:val="24"/>
          <w:szCs w:val="24"/>
        </w:rPr>
        <w:t xml:space="preserve">14. Условия обращения взыскания на залоговое обеспечение для погашения обязательств эмитента перед владельцами
 виртуальных активов.</w:t>
      </w:r>
    </w:p>
    <w:p>
      <w:pPr>
        <w:spacing w:after="120"/>
        <w:ind w:firstLine="567"/>
        <w:jc w:val="both"/>
      </w:pPr>
      <w:r>
        <w:rPr>
          <w:rFonts w:ascii="Arial" w:cs="Arial" w:eastAsia="Arial" w:hAnsi="Arial"/>
          <w:sz w:val="24"/>
          <w:szCs w:val="24"/>
        </w:rPr>
        <w:t xml:space="preserve">15. Иные условия размещения виртуальных активов.".</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2</w:t>
      </w:r>
      <w:r>
        <w:rPr>
          <w:rFonts w:ascii="Arial" w:cs="Arial" w:eastAsia="Arial" w:hAnsi="Arial"/>
          <w:sz w:val="24"/>
          <w:szCs w:val="24"/>
        </w:rPr>
        <w:t xml:space="preserve"> </w:t>
      </w:r>
      <w:r>
        <w:rPr>
          <w:rFonts w:ascii="Arial" w:cs="Arial" w:eastAsia="Arial" w:hAnsi="Arial"/>
          <w:sz w:val="24"/>
          <w:szCs w:val="24"/>
        </w:rPr>
        <w:t xml:space="preserve">к Положению об эмиссии (выпуске), обращении виртуальных активов и о порядке ведения Единого государственного реестра эмиссий виртуальных активов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Титульный лист белой бумаги (white paper)</w:t>
      </w:r>
    </w:p>
    <w:p>
      <w:pPr>
        <w:spacing w:after="120"/>
        <w:ind w:firstLine="567"/>
        <w:jc w:val="both"/>
      </w:pPr>
      <w:r>
        <w:rPr>
          <w:rFonts w:ascii="Arial" w:cs="Arial" w:eastAsia="Arial" w:hAnsi="Arial"/>
          <w:sz w:val="24"/>
          <w:szCs w:val="24"/>
        </w:rPr>
        <w:t xml:space="preserve">Зарегистрировано: "___" _________________ 20___ г.</w:t>
      </w:r>
    </w:p>
    <w:p>
      <w:pPr>
        <w:spacing w:after="120"/>
        <w:ind w:firstLine="567"/>
        <w:jc w:val="both"/>
      </w:pPr>
      <w:r>
        <w:rPr>
          <w:rFonts w:ascii="Arial" w:cs="Arial" w:eastAsia="Arial" w:hAnsi="Arial"/>
          <w:sz w:val="24"/>
          <w:szCs w:val="24"/>
        </w:rPr>
        <w:t xml:space="preserve">Государственный регистрационный номер 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(регистрирующий орган)</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(подпись уполномоченного лица)</w:t>
      </w:r>
    </w:p>
    <w:p>
      <w:pPr>
        <w:spacing w:after="120" w:before="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Белая бумага (white paper) выпуска виртуальных активов</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(полное фирменное наименование эмитента/ФИО эмитента)</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(местонахождение эмитента, контактные телефоны)</w:t>
      </w:r>
    </w:p>
    <w:p>
      <w:pPr>
        <w:spacing w:after="120"/>
        <w:ind w:firstLine="567"/>
        <w:jc w:val="both"/>
      </w:pPr>
      <w:r>
        <w:rPr>
          <w:rFonts w:ascii="Arial" w:cs="Arial" w:eastAsia="Arial" w:hAnsi="Arial"/>
          <w:sz w:val="24"/>
          <w:szCs w:val="24"/>
        </w:rPr>
        <w:t xml:space="preserve">"___" _________________ 20___ г.</w:t>
      </w:r>
    </w:p>
    <w:p>
      <w:pPr>
        <w:spacing w:after="120"/>
        <w:ind w:firstLine="567"/>
        <w:jc w:val="both"/>
      </w:pPr>
      <w:r>
        <w:rPr>
          <w:rFonts w:ascii="Arial" w:cs="Arial" w:eastAsia="Arial" w:hAnsi="Arial"/>
          <w:sz w:val="24"/>
          <w:szCs w:val="24"/>
        </w:rPr>
        <w:t xml:space="preserve">Информация, содержащаяся в настоящей белой бумаге (white paper), подлежит раскрытию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Уполномоченный государственный орган не отвечает за достоверность информации, содержащейся в данной белой бумаге (white paper), и ее регистрацию, не выражает своего отношения к размещаемым виртуальным активам.</w:t>
      </w:r>
    </w:p>
    <w:p>
      <w:pPr>
        <w:spacing w:after="120"/>
        <w:ind w:firstLine="567"/>
        <w:jc w:val="both"/>
      </w:pPr>
      <w:r>
        <w:rPr>
          <w:rFonts w:ascii="Arial" w:cs="Arial" w:eastAsia="Arial" w:hAnsi="Arial"/>
          <w:sz w:val="24"/>
          <w:szCs w:val="24"/>
        </w:rPr>
        <w:t xml:space="preserve">За достоверность всей предоставляемой информации несет ответственность сам эмитент в порядке, предусмотренном законодательством Кыргызской Республики.</w:t>
      </w:r>
    </w:p>
    <w:p>
      <w:pPr>
        <w:spacing w:after="120"/>
        <w:ind w:firstLine="567"/>
        <w:jc w:val="both"/>
      </w:pPr>
      <w:r>
        <w:rPr>
          <w:rFonts w:ascii="Arial" w:cs="Arial" w:eastAsia="Arial" w:hAnsi="Arial"/>
          <w:sz w:val="24"/>
          <w:szCs w:val="24"/>
        </w:rPr>
        <w:t xml:space="preserve">Принимая решение о вложении средств в виртуальные активы эмитента, Вам следует полагаться на свое собственное мнение о привлекательности и риске, связанном с владением данными виртуальными активами.</w:t>
      </w:r>
    </w:p>
    <w:p>
      <w:pPr>
        <w:spacing w:after="120"/>
        <w:ind w:firstLine="567"/>
        <w:jc w:val="both"/>
      </w:pPr>
      <w:r>
        <w:rPr>
          <w:rFonts w:ascii="Arial" w:cs="Arial" w:eastAsia="Arial" w:hAnsi="Arial"/>
          <w:sz w:val="24"/>
          <w:szCs w:val="24"/>
        </w:rPr>
        <w:t xml:space="preserve">Белая бумага (white paper) должна содержать как минимум следующие сведения:</w:t>
      </w:r>
    </w:p>
    <w:p>
      <w:pPr>
        <w:spacing w:after="120"/>
        <w:ind w:firstLine="567"/>
        <w:jc w:val="both"/>
      </w:pPr>
      <w:r>
        <w:rPr>
          <w:rFonts w:ascii="Arial" w:cs="Arial" w:eastAsia="Arial" w:hAnsi="Arial"/>
          <w:sz w:val="24"/>
          <w:szCs w:val="24"/>
        </w:rPr>
        <w:t xml:space="preserve">1. Дата составления белой бумаги (white paper).</w:t>
      </w:r>
    </w:p>
    <w:p>
      <w:pPr>
        <w:spacing w:after="120"/>
        <w:ind w:firstLine="567"/>
        <w:jc w:val="both"/>
      </w:pPr>
      <w:r>
        <w:rPr>
          <w:rFonts w:ascii="Arial" w:cs="Arial" w:eastAsia="Arial" w:hAnsi="Arial"/>
          <w:sz w:val="24"/>
          <w:szCs w:val="24"/>
        </w:rPr>
        <w:t xml:space="preserve">2. Краткое резюме проекта, существующие наработки и цели.</w:t>
      </w:r>
    </w:p>
    <w:p>
      <w:pPr>
        <w:spacing w:after="120"/>
        <w:ind w:firstLine="567"/>
        <w:jc w:val="both"/>
      </w:pPr>
      <w:r>
        <w:rPr>
          <w:rFonts w:ascii="Arial" w:cs="Arial" w:eastAsia="Arial" w:hAnsi="Arial"/>
          <w:sz w:val="24"/>
          <w:szCs w:val="24"/>
        </w:rPr>
        <w:t xml:space="preserve">3. Сведения о виртуальных активах эмитента:</w:t>
      </w:r>
    </w:p>
    <w:p>
      <w:pPr>
        <w:spacing w:after="120"/>
        <w:ind w:firstLine="567"/>
        <w:jc w:val="both"/>
      </w:pPr>
      <w:r>
        <w:rPr>
          <w:rFonts w:ascii="Arial" w:cs="Arial" w:eastAsia="Arial" w:hAnsi="Arial"/>
          <w:sz w:val="24"/>
          <w:szCs w:val="24"/>
        </w:rPr>
        <w:t xml:space="preserve">- все выпущенные к настоящему времени виртуальные активы эмитента;</w:t>
      </w:r>
    </w:p>
    <w:p>
      <w:pPr>
        <w:spacing w:after="120"/>
        <w:ind w:firstLine="567"/>
        <w:jc w:val="both"/>
      </w:pPr>
      <w:r>
        <w:rPr>
          <w:rFonts w:ascii="Arial" w:cs="Arial" w:eastAsia="Arial" w:hAnsi="Arial"/>
          <w:sz w:val="24"/>
          <w:szCs w:val="24"/>
        </w:rPr>
        <w:t xml:space="preserve">- вид публично предлагаемых виртуальных активов;</w:t>
      </w:r>
    </w:p>
    <w:p>
      <w:pPr>
        <w:spacing w:after="120"/>
        <w:ind w:firstLine="567"/>
        <w:jc w:val="both"/>
      </w:pPr>
      <w:r>
        <w:rPr>
          <w:rFonts w:ascii="Arial" w:cs="Arial" w:eastAsia="Arial" w:hAnsi="Arial"/>
          <w:sz w:val="24"/>
          <w:szCs w:val="24"/>
        </w:rPr>
        <w:t xml:space="preserve">- номинальная стоимость виртуальных активов;</w:t>
      </w:r>
    </w:p>
    <w:p>
      <w:pPr>
        <w:spacing w:after="120"/>
        <w:ind w:firstLine="567"/>
        <w:jc w:val="both"/>
      </w:pPr>
      <w:r>
        <w:rPr>
          <w:rFonts w:ascii="Arial" w:cs="Arial" w:eastAsia="Arial" w:hAnsi="Arial"/>
          <w:sz w:val="24"/>
          <w:szCs w:val="24"/>
        </w:rPr>
        <w:t xml:space="preserve">- количество виртуальных активов, предполагаемых к публичному предложению;</w:t>
      </w:r>
    </w:p>
    <w:p>
      <w:pPr>
        <w:spacing w:after="120"/>
        <w:ind w:firstLine="567"/>
        <w:jc w:val="both"/>
      </w:pPr>
      <w:r>
        <w:rPr>
          <w:rFonts w:ascii="Arial" w:cs="Arial" w:eastAsia="Arial" w:hAnsi="Arial"/>
          <w:sz w:val="24"/>
          <w:szCs w:val="24"/>
        </w:rPr>
        <w:t xml:space="preserve">- название блокчейна, адрес кошелька эмитента виртуальных активов и смарт-контракта;</w:t>
      </w:r>
    </w:p>
    <w:p>
      <w:pPr>
        <w:spacing w:after="120"/>
        <w:ind w:firstLine="567"/>
        <w:jc w:val="both"/>
      </w:pPr>
      <w:r>
        <w:rPr>
          <w:rFonts w:ascii="Arial" w:cs="Arial" w:eastAsia="Arial" w:hAnsi="Arial"/>
          <w:sz w:val="24"/>
          <w:szCs w:val="24"/>
        </w:rPr>
        <w:t xml:space="preserve">- минимальное количество виртуальных активов, продажа которых предполагается в рамках данного публичного предложения, необходимое эмитенту для признания публичного предложения виртуальных активов состоявшимся;</w:t>
      </w:r>
    </w:p>
    <w:p>
      <w:pPr>
        <w:spacing w:after="120"/>
        <w:ind w:firstLine="567"/>
        <w:jc w:val="both"/>
      </w:pPr>
      <w:r>
        <w:rPr>
          <w:rFonts w:ascii="Arial" w:cs="Arial" w:eastAsia="Arial" w:hAnsi="Arial"/>
          <w:sz w:val="24"/>
          <w:szCs w:val="24"/>
        </w:rPr>
        <w:t xml:space="preserve">- цена (порядок определения цены) виртуальных активов при публичном предложении;</w:t>
      </w:r>
    </w:p>
    <w:p>
      <w:pPr>
        <w:spacing w:after="120"/>
        <w:ind w:firstLine="567"/>
        <w:jc w:val="both"/>
      </w:pPr>
      <w:r>
        <w:rPr>
          <w:rFonts w:ascii="Arial" w:cs="Arial" w:eastAsia="Arial" w:hAnsi="Arial"/>
          <w:sz w:val="24"/>
          <w:szCs w:val="24"/>
        </w:rPr>
        <w:t xml:space="preserve">- условия и сроки осуществления публичного предложения виртуальных активов;</w:t>
      </w:r>
    </w:p>
    <w:p>
      <w:pPr>
        <w:spacing w:after="120"/>
        <w:ind w:firstLine="567"/>
        <w:jc w:val="both"/>
      </w:pPr>
      <w:r>
        <w:rPr>
          <w:rFonts w:ascii="Arial" w:cs="Arial" w:eastAsia="Arial" w:hAnsi="Arial"/>
          <w:sz w:val="24"/>
          <w:szCs w:val="24"/>
        </w:rPr>
        <w:t xml:space="preserve">- указание, были ли предлагаемые виртуальные активы ранее выпущены либо предлагаются к размещению;</w:t>
      </w:r>
    </w:p>
    <w:p>
      <w:pPr>
        <w:spacing w:after="120"/>
        <w:ind w:firstLine="567"/>
        <w:jc w:val="both"/>
      </w:pPr>
      <w:r>
        <w:rPr>
          <w:rFonts w:ascii="Arial" w:cs="Arial" w:eastAsia="Arial" w:hAnsi="Arial"/>
          <w:sz w:val="24"/>
          <w:szCs w:val="24"/>
        </w:rPr>
        <w:t xml:space="preserve">- способ оплаты виртуальных активов, получения дохода по виртуальным активам, срок обращения, а также порядок погашения виртуальных активов (при наличии соответствующего решения эмитента виртуальных активов);</w:t>
      </w:r>
    </w:p>
    <w:p>
      <w:pPr>
        <w:spacing w:after="120"/>
        <w:ind w:firstLine="567"/>
        <w:jc w:val="both"/>
      </w:pPr>
      <w:r>
        <w:rPr>
          <w:rFonts w:ascii="Arial" w:cs="Arial" w:eastAsia="Arial" w:hAnsi="Arial"/>
          <w:sz w:val="24"/>
          <w:szCs w:val="24"/>
        </w:rPr>
        <w:t xml:space="preserve">- наличие преимущественного права на приобретение публично размещаемых виртуальных активов, любые ограничения на приобретение и обращение размещаемых виртуальных активов (при наличии преимущественного права или ограничений);</w:t>
      </w:r>
    </w:p>
    <w:p>
      <w:pPr>
        <w:spacing w:after="120"/>
        <w:ind w:firstLine="567"/>
        <w:jc w:val="both"/>
      </w:pPr>
      <w:r>
        <w:rPr>
          <w:rFonts w:ascii="Arial" w:cs="Arial" w:eastAsia="Arial" w:hAnsi="Arial"/>
          <w:sz w:val="24"/>
          <w:szCs w:val="24"/>
        </w:rPr>
        <w:t xml:space="preserve">- сведения о лицах, оказывающих услуги по организации публичного предложения виртуальных активов;</w:t>
      </w:r>
    </w:p>
    <w:p>
      <w:pPr>
        <w:spacing w:after="120"/>
        <w:ind w:firstLine="567"/>
        <w:jc w:val="both"/>
      </w:pPr>
      <w:r>
        <w:rPr>
          <w:rFonts w:ascii="Arial" w:cs="Arial" w:eastAsia="Arial" w:hAnsi="Arial"/>
          <w:sz w:val="24"/>
          <w:szCs w:val="24"/>
        </w:rPr>
        <w:t xml:space="preserve">- сведения об операторе торгов виртуальных активов, по средствам которого предполагается продажа виртуальных активов;</w:t>
      </w:r>
    </w:p>
    <w:p>
      <w:pPr>
        <w:spacing w:after="120"/>
        <w:ind w:firstLine="567"/>
        <w:jc w:val="both"/>
      </w:pPr>
      <w:r>
        <w:rPr>
          <w:rFonts w:ascii="Arial" w:cs="Arial" w:eastAsia="Arial" w:hAnsi="Arial"/>
          <w:sz w:val="24"/>
          <w:szCs w:val="24"/>
        </w:rPr>
        <w:t xml:space="preserve">- указание о включении эмитента в листинг оператора торгов виртуальных активов;</w:t>
      </w:r>
    </w:p>
    <w:p>
      <w:pPr>
        <w:spacing w:after="120"/>
        <w:ind w:firstLine="567"/>
        <w:jc w:val="both"/>
      </w:pPr>
      <w:r>
        <w:rPr>
          <w:rFonts w:ascii="Arial" w:cs="Arial" w:eastAsia="Arial" w:hAnsi="Arial"/>
          <w:sz w:val="24"/>
          <w:szCs w:val="24"/>
        </w:rPr>
        <w:t xml:space="preserve">- заключение эксперта (экспертной организации), которое должно содержаться в белой бумаге (white paper) и/или на которое делается ссылка в белой бумаге (white paper), в случаях привлечения эмитентом дополнительного эксперта (экспертной организации);</w:t>
      </w:r>
    </w:p>
    <w:p>
      <w:pPr>
        <w:spacing w:after="120"/>
        <w:ind w:firstLine="567"/>
        <w:jc w:val="both"/>
      </w:pPr>
      <w:r>
        <w:rPr>
          <w:rFonts w:ascii="Arial" w:cs="Arial" w:eastAsia="Arial" w:hAnsi="Arial"/>
          <w:sz w:val="24"/>
          <w:szCs w:val="24"/>
        </w:rPr>
        <w:t xml:space="preserve">- порядок возврата средств, полученных за оплату виртуальных активов, в случае признания публичного предложения виртуальных активов несостоявшимся;</w:t>
      </w:r>
    </w:p>
    <w:p>
      <w:pPr>
        <w:spacing w:after="120"/>
        <w:ind w:firstLine="567"/>
        <w:jc w:val="both"/>
      </w:pPr>
      <w:r>
        <w:rPr>
          <w:rFonts w:ascii="Arial" w:cs="Arial" w:eastAsia="Arial" w:hAnsi="Arial"/>
          <w:sz w:val="24"/>
          <w:szCs w:val="24"/>
        </w:rPr>
        <w:t xml:space="preserve">- сведения о стоимости имущества, выставляемого в обеспечение и залог выпуска виртуальных активов;</w:t>
      </w:r>
    </w:p>
    <w:p>
      <w:pPr>
        <w:spacing w:after="120"/>
        <w:ind w:firstLine="567"/>
        <w:jc w:val="both"/>
      </w:pPr>
      <w:r>
        <w:rPr>
          <w:rFonts w:ascii="Arial" w:cs="Arial" w:eastAsia="Arial" w:hAnsi="Arial"/>
          <w:sz w:val="24"/>
          <w:szCs w:val="24"/>
        </w:rPr>
        <w:t xml:space="preserve">- сведения об управляющем залогом;</w:t>
      </w:r>
    </w:p>
    <w:p>
      <w:pPr>
        <w:spacing w:after="120"/>
        <w:ind w:firstLine="567"/>
        <w:jc w:val="both"/>
      </w:pPr>
      <w:r>
        <w:rPr>
          <w:rFonts w:ascii="Arial" w:cs="Arial" w:eastAsia="Arial" w:hAnsi="Arial"/>
          <w:sz w:val="24"/>
          <w:szCs w:val="24"/>
        </w:rPr>
        <w:t xml:space="preserve">- условия обращения взыскания на залоговое обеспечение для погашения обязательств эмитента перед владельцами виртуальных активов.</w:t>
      </w:r>
    </w:p>
    <w:p>
      <w:pPr>
        <w:spacing w:after="120"/>
        <w:ind w:firstLine="567"/>
        <w:jc w:val="both"/>
      </w:pPr>
      <w:r>
        <w:rPr>
          <w:rFonts w:ascii="Arial" w:cs="Arial" w:eastAsia="Arial" w:hAnsi="Arial"/>
          <w:sz w:val="24"/>
          <w:szCs w:val="24"/>
        </w:rPr>
        <w:t xml:space="preserve">4. Параметры рынка (расчеты рынка, потенциальной аудитории).</w:t>
      </w:r>
    </w:p>
    <w:p>
      <w:pPr>
        <w:spacing w:after="120"/>
        <w:ind w:firstLine="567"/>
        <w:jc w:val="both"/>
      </w:pPr>
      <w:r>
        <w:rPr>
          <w:rFonts w:ascii="Arial" w:cs="Arial" w:eastAsia="Arial" w:hAnsi="Arial"/>
          <w:sz w:val="24"/>
          <w:szCs w:val="24"/>
        </w:rPr>
        <w:t xml:space="preserve">5. Маршрутная карта, которая определяет сроки развития проекта.</w:t>
      </w:r>
    </w:p>
    <w:p>
      <w:pPr>
        <w:spacing w:after="120"/>
        <w:ind w:firstLine="567"/>
        <w:jc w:val="both"/>
      </w:pPr>
      <w:r>
        <w:rPr>
          <w:rFonts w:ascii="Arial" w:cs="Arial" w:eastAsia="Arial" w:hAnsi="Arial"/>
          <w:sz w:val="24"/>
          <w:szCs w:val="24"/>
        </w:rPr>
        <w:t xml:space="preserve">6. Бизнес-план (технико-экономическое обоснование):</w:t>
      </w:r>
    </w:p>
    <w:p>
      <w:pPr>
        <w:spacing w:after="120"/>
        <w:ind w:firstLine="567"/>
        <w:jc w:val="both"/>
      </w:pPr>
      <w:r>
        <w:rPr>
          <w:rFonts w:ascii="Arial" w:cs="Arial" w:eastAsia="Arial" w:hAnsi="Arial"/>
          <w:sz w:val="24"/>
          <w:szCs w:val="24"/>
        </w:rPr>
        <w:t xml:space="preserve">- определение целей, преследуемых при проведении услуг, связанных с виртуальными активами;</w:t>
      </w:r>
    </w:p>
    <w:p>
      <w:pPr>
        <w:spacing w:after="120"/>
        <w:ind w:firstLine="567"/>
        <w:jc w:val="both"/>
      </w:pPr>
      <w:r>
        <w:rPr>
          <w:rFonts w:ascii="Arial" w:cs="Arial" w:eastAsia="Arial" w:hAnsi="Arial"/>
          <w:sz w:val="24"/>
          <w:szCs w:val="24"/>
        </w:rPr>
        <w:t xml:space="preserve">- прогнозные расчеты экономических результатов, ожидаемых от оказания данных услуг, как минимум на 3 года;</w:t>
      </w:r>
    </w:p>
    <w:p>
      <w:pPr>
        <w:spacing w:after="120"/>
        <w:ind w:firstLine="567"/>
        <w:jc w:val="both"/>
      </w:pPr>
      <w:r>
        <w:rPr>
          <w:rFonts w:ascii="Arial" w:cs="Arial" w:eastAsia="Arial" w:hAnsi="Arial"/>
          <w:sz w:val="24"/>
          <w:szCs w:val="24"/>
        </w:rPr>
        <w:t xml:space="preserve">- потенциальный срок окупаемости;</w:t>
      </w:r>
    </w:p>
    <w:p>
      <w:pPr>
        <w:spacing w:after="120"/>
        <w:ind w:firstLine="567"/>
        <w:jc w:val="both"/>
      </w:pPr>
      <w:r>
        <w:rPr>
          <w:rFonts w:ascii="Arial" w:cs="Arial" w:eastAsia="Arial" w:hAnsi="Arial"/>
          <w:sz w:val="24"/>
          <w:szCs w:val="24"/>
        </w:rPr>
        <w:t xml:space="preserve">- рентабельность;</w:t>
      </w:r>
    </w:p>
    <w:p>
      <w:pPr>
        <w:spacing w:after="120"/>
        <w:ind w:firstLine="567"/>
        <w:jc w:val="both"/>
      </w:pPr>
      <w:r>
        <w:rPr>
          <w:rFonts w:ascii="Arial" w:cs="Arial" w:eastAsia="Arial" w:hAnsi="Arial"/>
          <w:sz w:val="24"/>
          <w:szCs w:val="24"/>
        </w:rPr>
        <w:t xml:space="preserve">- источник денежных средств для реализации проекта.</w:t>
      </w:r>
    </w:p>
    <w:p>
      <w:pPr>
        <w:spacing w:after="120"/>
        <w:ind w:firstLine="567"/>
        <w:jc w:val="both"/>
      </w:pPr>
      <w:r>
        <w:rPr>
          <w:rFonts w:ascii="Arial" w:cs="Arial" w:eastAsia="Arial" w:hAnsi="Arial"/>
          <w:sz w:val="24"/>
          <w:szCs w:val="24"/>
        </w:rPr>
        <w:t xml:space="preserve">7. Риски, связанные с приобретением виртуальных активов эмитента (приводится подробный анализ факторов риска, которым будут подвергаться владельцы виртуальных активов эмитента).</w:t>
      </w:r>
    </w:p>
    <w:p>
      <w:pPr>
        <w:spacing w:after="120"/>
        <w:ind w:firstLine="567"/>
        <w:jc w:val="both"/>
      </w:pPr>
      <w:r>
        <w:rPr>
          <w:rFonts w:ascii="Arial" w:cs="Arial" w:eastAsia="Arial" w:hAnsi="Arial"/>
          <w:sz w:val="24"/>
          <w:szCs w:val="24"/>
        </w:rPr>
        <w:t xml:space="preserve">8. Конкурирующие решения и преимущества проекта перед ними.</w:t>
      </w:r>
    </w:p>
    <w:p>
      <w:pPr>
        <w:spacing w:after="120"/>
        <w:ind w:firstLine="567"/>
        <w:jc w:val="both"/>
      </w:pPr>
      <w:r>
        <w:rPr>
          <w:rFonts w:ascii="Arial" w:cs="Arial" w:eastAsia="Arial" w:hAnsi="Arial"/>
          <w:sz w:val="24"/>
          <w:szCs w:val="24"/>
        </w:rPr>
        <w:t xml:space="preserve">9. Описание команды, включая лиц обладающих профессиональными навыками, которые способствуют продвижению проекта.</w:t>
      </w:r>
    </w:p>
    <w:p>
      <w:pPr>
        <w:spacing w:after="120"/>
        <w:ind w:firstLine="567"/>
        <w:jc w:val="both"/>
      </w:pPr>
      <w:r>
        <w:rPr>
          <w:rFonts w:ascii="Arial" w:cs="Arial" w:eastAsia="Arial" w:hAnsi="Arial"/>
          <w:sz w:val="24"/>
          <w:szCs w:val="24"/>
        </w:rPr>
        <w:t xml:space="preserve">10. История разработки, освещение в СМИ.</w:t>
      </w:r>
    </w:p>
    <w:p>
      <w:pPr>
        <w:spacing w:after="120"/>
        <w:ind w:firstLine="567"/>
        <w:jc w:val="both"/>
      </w:pPr>
      <w:r>
        <w:rPr>
          <w:rFonts w:ascii="Arial" w:cs="Arial" w:eastAsia="Arial" w:hAnsi="Arial"/>
          <w:sz w:val="24"/>
          <w:szCs w:val="24"/>
        </w:rPr>
        <w:t xml:space="preserve">11. Юридическая информация:</w:t>
      </w:r>
    </w:p>
    <w:p>
      <w:pPr>
        <w:spacing w:after="120"/>
        <w:ind w:firstLine="567"/>
        <w:jc w:val="both"/>
      </w:pPr>
      <w:r>
        <w:rPr>
          <w:rFonts w:ascii="Arial" w:cs="Arial" w:eastAsia="Arial" w:hAnsi="Arial"/>
          <w:sz w:val="24"/>
          <w:szCs w:val="24"/>
        </w:rPr>
        <w:t xml:space="preserve">11.1. Общие сведения об эмитенте.</w:t>
      </w:r>
    </w:p>
    <w:p>
      <w:pPr>
        <w:spacing w:after="120"/>
        <w:ind w:firstLine="567"/>
        <w:jc w:val="both"/>
      </w:pPr>
      <w:r>
        <w:rPr>
          <w:rFonts w:ascii="Arial" w:cs="Arial" w:eastAsia="Arial" w:hAnsi="Arial"/>
          <w:sz w:val="24"/>
          <w:szCs w:val="24"/>
        </w:rPr>
        <w:t xml:space="preserve">Полное фирменное наименование эмитента/ФИО эмитента.</w:t>
      </w:r>
    </w:p>
    <w:p>
      <w:pPr>
        <w:spacing w:after="120"/>
        <w:ind w:firstLine="567"/>
        <w:jc w:val="both"/>
      </w:pPr>
      <w:r>
        <w:rPr>
          <w:rFonts w:ascii="Arial" w:cs="Arial" w:eastAsia="Arial" w:hAnsi="Arial"/>
          <w:sz w:val="24"/>
          <w:szCs w:val="24"/>
        </w:rPr>
        <w:t xml:space="preserve">Сокращенное наименование эмитента (для юридических лиц).</w:t>
      </w:r>
    </w:p>
    <w:p>
      <w:pPr>
        <w:spacing w:after="120"/>
        <w:ind w:firstLine="567"/>
        <w:jc w:val="both"/>
      </w:pPr>
      <w:r>
        <w:rPr>
          <w:rFonts w:ascii="Arial" w:cs="Arial" w:eastAsia="Arial" w:hAnsi="Arial"/>
          <w:sz w:val="24"/>
          <w:szCs w:val="24"/>
        </w:rPr>
        <w:t xml:space="preserve">Данные об изменениях в наименовании и организационно-правовой форме эмитента (для юридических лиц).</w:t>
      </w:r>
    </w:p>
    <w:p>
      <w:pPr>
        <w:spacing w:after="120"/>
        <w:ind w:firstLine="567"/>
        <w:jc w:val="both"/>
      </w:pPr>
      <w:r>
        <w:rPr>
          <w:rFonts w:ascii="Arial" w:cs="Arial" w:eastAsia="Arial" w:hAnsi="Arial"/>
          <w:sz w:val="24"/>
          <w:szCs w:val="24"/>
        </w:rPr>
        <w:t xml:space="preserve">Если в течение времени существования эмитента его фирменное наименование и организационно-правовая форма менялись, указываются все его предшествующие полные и сокращенные фирменные наименования, организационно-правовые формы, а также даты, когда они были изменены (для юридических лиц).</w:t>
      </w:r>
    </w:p>
    <w:p>
      <w:pPr>
        <w:spacing w:after="120"/>
        <w:ind w:firstLine="567"/>
        <w:jc w:val="both"/>
      </w:pPr>
      <w:r>
        <w:rPr>
          <w:rFonts w:ascii="Arial" w:cs="Arial" w:eastAsia="Arial" w:hAnsi="Arial"/>
          <w:sz w:val="24"/>
          <w:szCs w:val="24"/>
        </w:rPr>
        <w:t xml:space="preserve">Сведения о государственной регистрации (перерегистрации) эмитента (для индивидуальных предпринимателей и юридических лиц).</w:t>
      </w:r>
    </w:p>
    <w:p>
      <w:pPr>
        <w:spacing w:after="120"/>
        <w:ind w:firstLine="567"/>
        <w:jc w:val="both"/>
      </w:pPr>
      <w:r>
        <w:rPr>
          <w:rFonts w:ascii="Arial" w:cs="Arial" w:eastAsia="Arial" w:hAnsi="Arial"/>
          <w:sz w:val="24"/>
          <w:szCs w:val="24"/>
        </w:rPr>
        <w:t xml:space="preserve">Указываются регистрационный номер и дата о государственной регистрации (иного документа, подтверждающего государственную регистрацию эмитента), а также наименование органа, осуществившего его государственную регистрацию (для индивидуальных предпринимателей и юридических лиц).</w:t>
      </w:r>
    </w:p>
    <w:p>
      <w:pPr>
        <w:spacing w:after="120"/>
        <w:ind w:firstLine="567"/>
        <w:jc w:val="both"/>
      </w:pPr>
      <w:r>
        <w:rPr>
          <w:rFonts w:ascii="Arial" w:cs="Arial" w:eastAsia="Arial" w:hAnsi="Arial"/>
          <w:sz w:val="24"/>
          <w:szCs w:val="24"/>
        </w:rPr>
        <w:t xml:space="preserve">Местонахождение, почтовый адрес эмитента и контактные телефоны.</w:t>
      </w:r>
    </w:p>
    <w:p>
      <w:pPr>
        <w:spacing w:after="120"/>
        <w:ind w:firstLine="567"/>
        <w:jc w:val="both"/>
      </w:pPr>
      <w:r>
        <w:rPr>
          <w:rFonts w:ascii="Arial" w:cs="Arial" w:eastAsia="Arial" w:hAnsi="Arial"/>
          <w:sz w:val="24"/>
          <w:szCs w:val="24"/>
        </w:rPr>
        <w:t xml:space="preserve">Основной вид хозяйственной деятельности эмитента.</w:t>
      </w:r>
    </w:p>
    <w:p>
      <w:pPr>
        <w:spacing w:after="120"/>
        <w:ind w:firstLine="567"/>
        <w:jc w:val="both"/>
      </w:pPr>
      <w:r>
        <w:rPr>
          <w:rFonts w:ascii="Arial" w:cs="Arial" w:eastAsia="Arial" w:hAnsi="Arial"/>
          <w:sz w:val="24"/>
          <w:szCs w:val="24"/>
        </w:rPr>
        <w:t xml:space="preserve">11.2. Сведения о должностных лицах эмитента (для юридических лиц).</w:t>
      </w:r>
    </w:p>
    <w:p>
      <w:pPr>
        <w:spacing w:after="120"/>
        <w:ind w:firstLine="567"/>
        <w:jc w:val="both"/>
      </w:pPr>
      <w:r>
        <w:rPr>
          <w:rFonts w:ascii="Arial" w:cs="Arial" w:eastAsia="Arial" w:hAnsi="Arial"/>
          <w:sz w:val="24"/>
          <w:szCs w:val="24"/>
        </w:rPr>
        <w:t xml:space="preserve">Сведения о структуре и компетенции органов управления эмитента.</w:t>
      </w:r>
    </w:p>
    <w:p>
      <w:pPr>
        <w:spacing w:after="120"/>
        <w:ind w:firstLine="567"/>
        <w:jc w:val="both"/>
      </w:pPr>
      <w:r>
        <w:rPr>
          <w:rFonts w:ascii="Arial" w:cs="Arial" w:eastAsia="Arial" w:hAnsi="Arial"/>
          <w:sz w:val="24"/>
          <w:szCs w:val="24"/>
        </w:rPr>
        <w:t xml:space="preserve">Список лиц, входящих в состав органов управления эмитента, информация об управляющей организации, характер аффилированных связей между лицами, входящими в органы управления эмитента, владельцами крупных пакетов акций/долей и учредителями/участниками, владельцами контрольного пакета акций/долей.</w:t>
      </w:r>
    </w:p>
    <w:p>
      <w:pPr>
        <w:spacing w:after="120"/>
        <w:ind w:firstLine="567"/>
        <w:jc w:val="both"/>
      </w:pPr>
      <w:r>
        <w:rPr>
          <w:rFonts w:ascii="Arial" w:cs="Arial" w:eastAsia="Arial" w:hAnsi="Arial"/>
          <w:sz w:val="24"/>
          <w:szCs w:val="24"/>
        </w:rPr>
        <w:t xml:space="preserve">Количество принадлежащих должностным лицам акций/долей эмитента и его дочерних и зависимых обществах.</w:t>
      </w:r>
    </w:p>
    <w:p>
      <w:pPr>
        <w:spacing w:after="120"/>
        <w:ind w:firstLine="567"/>
        <w:jc w:val="both"/>
      </w:pPr>
      <w:r>
        <w:rPr>
          <w:rFonts w:ascii="Arial" w:cs="Arial" w:eastAsia="Arial" w:hAnsi="Arial"/>
          <w:sz w:val="24"/>
          <w:szCs w:val="24"/>
        </w:rPr>
        <w:t xml:space="preserve">11.3. Сведения об учредителях или участниках эмитента (для юридических лиц).</w:t>
      </w:r>
    </w:p>
    <w:p>
      <w:pPr>
        <w:spacing w:after="120"/>
        <w:ind w:firstLine="567"/>
        <w:jc w:val="both"/>
      </w:pPr>
      <w:r>
        <w:rPr>
          <w:rFonts w:ascii="Arial" w:cs="Arial" w:eastAsia="Arial" w:hAnsi="Arial"/>
          <w:sz w:val="24"/>
          <w:szCs w:val="24"/>
        </w:rPr>
        <w:t xml:space="preserve">Сведения о владельцах крупных пакетов акций/долей и учредителях/участниках, владеющих контрольным пакетом акций/долей.</w:t>
      </w:r>
    </w:p>
    <w:p>
      <w:pPr>
        <w:spacing w:after="120"/>
        <w:ind w:firstLine="567"/>
        <w:jc w:val="both"/>
      </w:pPr>
      <w:r>
        <w:rPr>
          <w:rFonts w:ascii="Arial" w:cs="Arial" w:eastAsia="Arial" w:hAnsi="Arial"/>
          <w:sz w:val="24"/>
          <w:szCs w:val="24"/>
        </w:rPr>
        <w:t xml:space="preserve">Сведения о совершенных эмитентом сделках, в совершении которых имелась заинтересованность его должностных лиц, владельцев крупных пакетов акций/долей их аффилированных лиц за 3 последних завершенных финансовых года или за каждый завершенный финансовый год, если эмитент осуществляет свою деятельность менее 3 лет, а также за период до даты составления белой бумаги (white paper).</w:t>
      </w:r>
    </w:p>
    <w:p>
      <w:pPr>
        <w:spacing w:after="120"/>
        <w:ind w:firstLine="567"/>
        <w:jc w:val="both"/>
      </w:pPr>
      <w:r>
        <w:rPr>
          <w:rFonts w:ascii="Arial" w:cs="Arial" w:eastAsia="Arial" w:hAnsi="Arial"/>
          <w:sz w:val="24"/>
          <w:szCs w:val="24"/>
        </w:rPr>
        <w:t xml:space="preserve">12. Иная информация:</w:t>
      </w:r>
    </w:p>
    <w:p>
      <w:pPr>
        <w:spacing w:after="120"/>
        <w:ind w:firstLine="567"/>
        <w:jc w:val="both"/>
      </w:pPr>
      <w:r>
        <w:rPr>
          <w:rFonts w:ascii="Arial" w:cs="Arial" w:eastAsia="Arial" w:hAnsi="Arial"/>
          <w:sz w:val="24"/>
          <w:szCs w:val="24"/>
        </w:rPr>
        <w:t xml:space="preserve">прочие особенности и условия выпуска и (или) обращения виртуальных активов.</w:t>
      </w:r>
    </w:p>
    <w:p>
      <w:pPr>
        <w:spacing w:after="120"/>
        <w:ind w:firstLine="567"/>
        <w:jc w:val="both"/>
      </w:pPr>
      <w:r>
        <w:rPr>
          <w:rFonts w:ascii="Arial" w:cs="Arial" w:eastAsia="Arial" w:hAnsi="Arial"/>
          <w:sz w:val="24"/>
          <w:szCs w:val="24"/>
        </w:rPr>
        <w:t xml:space="preserve">Основные места (место) продажи виртуальных активов.</w:t>
      </w:r>
    </w:p>
    <w:p>
      <w:pPr>
        <w:spacing w:after="120"/>
        <w:ind w:firstLine="567"/>
        <w:jc w:val="both"/>
      </w:pPr>
      <w:r>
        <w:rPr>
          <w:rFonts w:ascii="Arial" w:cs="Arial" w:eastAsia="Arial" w:hAnsi="Arial"/>
          <w:sz w:val="24"/>
          <w:szCs w:val="24"/>
        </w:rPr>
        <w:t xml:space="preserve">Эмитент (для физических лиц): 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(ФИО)                                                                                                   (подпись)</w:t>
      </w:r>
    </w:p>
    <w:p>
      <w:pPr>
        <w:spacing w:after="120"/>
        <w:ind w:firstLine="567"/>
        <w:jc w:val="both"/>
      </w:pPr>
      <w:r>
        <w:rPr>
          <w:rFonts w:ascii="Arial" w:cs="Arial" w:eastAsia="Arial" w:hAnsi="Arial"/>
          <w:sz w:val="24"/>
          <w:szCs w:val="24"/>
        </w:rPr>
        <w:t xml:space="preserve">Руководитель (для юридических лиц): 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(ФИО)                                                                                                   (подпись)</w:t>
      </w:r>
    </w:p>
    <w:p>
      <w:pPr>
        <w:spacing w:after="120"/>
        <w:ind w:firstLine="567"/>
        <w:jc w:val="both"/>
      </w:pPr>
      <w:r>
        <w:rPr>
          <w:rFonts w:ascii="Arial" w:cs="Arial" w:eastAsia="Arial" w:hAnsi="Arial"/>
          <w:sz w:val="24"/>
          <w:szCs w:val="24"/>
        </w:rPr>
        <w:t xml:space="preserve">Главный бухгалтер (для юридических лиц): 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(ФИО)                                                                                                   (подпись)</w:t>
      </w:r>
    </w:p>
    <w:p>
      <w:pPr>
        <w:spacing w:after="120" w:before="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Руководитель (для управляющего залогом): 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(ФИО)                                                                                                   (подпись)</w:t>
      </w:r>
    </w:p>
    <w:p>
      <w:pPr>
        <w:spacing w:after="120" w:before="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"___" _____________________ 20___ года.".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1</w:t>
      </w:r>
      <w:r>
        <w:rPr>
          <w:rFonts w:ascii="Arial" w:cs="Arial" w:eastAsia="Arial" w:hAnsi="Arial"/>
          <w:sz w:val="24"/>
          <w:szCs w:val="24"/>
        </w:rPr>
        <w:t xml:space="preserve"> </w:t>
      </w:r>
      <w:r>
        <w:rPr>
          <w:rFonts w:ascii="Arial" w:cs="Arial" w:eastAsia="Arial" w:hAnsi="Arial"/>
          <w:sz w:val="24"/>
          <w:szCs w:val="24"/>
        </w:rPr>
        <w:t xml:space="preserve">к Положению о деятельности оператора обмена виртуальных активов и ведении Реестра операторов обмена виртуальных активов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АНКЕТА
 акционера (учредителя)/участника, бенефициарного владельца и должностного лица оператора обмена виртуальных активов
 (заполняется физическим лицом)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3"/>
        <w:gridCol w:w="3282"/>
        <w:gridCol w:w="3282"/>
        <w:gridCol w:w="3282"/>
      </w:tblGrid>
      <w:tr>
        <w:tc>
          <w:tcPr>
            <w:tcW w:type="dxa" w:w="33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84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r>
      <w:tr>
        <w:tc>
          <w:tcPr>
            <w:tcW w:type="dxa" w:w="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меняли фамилию:</w:t>
            </w:r>
            <w:r>
              <w:rPr>
                <w:rFonts w:ascii="Arial" w:cs="Arial" w:eastAsia="Arial" w:hAnsi="Arial"/>
                <w:sz w:val="24"/>
                <w:szCs w:val="24"/>
              </w:rPr>
              <w:t xml:space="preserve">(предыдущая фамилия)</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Когда:</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какой причине:</w:t>
            </w:r>
          </w:p>
        </w:tc>
      </w:tr>
      <w:tr>
        <w:tc>
          <w:tcPr>
            <w:tcW w:type="dxa" w:w="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656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рождения:</w:t>
            </w:r>
          </w:p>
        </w:tc>
      </w:tr>
      <w:tr>
        <w:tc>
          <w:tcPr>
            <w:tcW w:type="dxa" w:w="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Серия:</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tc>
      </w:tr>
      <w:tr>
        <w:tc>
          <w:tcPr>
            <w:tcW w:type="dxa" w:w="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выдан:</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84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r>
      <w:tr>
        <w:tc>
          <w:tcPr>
            <w:tcW w:type="dxa" w:w="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84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место проживания:</w:t>
            </w:r>
            <w:r>
              <w:rPr>
                <w:rFonts w:ascii="Arial" w:cs="Arial" w:eastAsia="Arial" w:hAnsi="Arial"/>
                <w:sz w:val="24"/>
                <w:szCs w:val="24"/>
              </w:rPr>
              <w:t xml:space="preserve">моб. тел.:</w:t>
            </w:r>
          </w:p>
        </w:tc>
      </w:tr>
      <w:tr>
        <w:tc>
          <w:tcPr>
            <w:tcW w:type="dxa" w:w="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Основное место работы:</w:t>
            </w:r>
          </w:p>
        </w:tc>
        <w:tc>
          <w:tcPr>
            <w:tcW w:type="dxa" w:w="656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Занимаемая должность:</w:t>
            </w:r>
          </w:p>
        </w:tc>
      </w:tr>
    </w:tbl>
    <w:p>
      <w:pPr>
        <w:spacing w:after="120" w:before="120"/>
        <w:ind w:firstLine="567"/>
        <w:jc w:val="both"/>
      </w:pPr>
      <w:r>
        <w:rPr>
          <w:rFonts w:ascii="Arial" w:cs="Arial" w:eastAsia="Arial" w:hAnsi="Arial"/>
          <w:sz w:val="24"/>
          <w:szCs w:val="24"/>
        </w:rPr>
        <w:t xml:space="preserve">8. Наименование и расположение банков, в которых открыты расчетные и иные счета:</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9. ПИН: _________________________________________________________________________________________________</w:t>
      </w:r>
    </w:p>
    <w:p>
      <w:pPr>
        <w:spacing w:after="120"/>
        <w:jc w:val="both"/>
      </w:pPr>
      <w:r>
        <w:rPr>
          <w:rFonts w:ascii="Arial" w:cs="Arial" w:eastAsia="Arial" w:hAnsi="Arial"/>
          <w:sz w:val="24"/>
          <w:szCs w:val="24"/>
        </w:rPr>
        <w:t xml:space="preserve">10. Укажите, были ли в отношении вас выдвинуты обвинения в совершении преступления
 (финансового/экономического и уголовного) в течение последних 3 лет, в том числе в случаях прекращения дела
 или снятия обвинения (да/нет) ______________</w:t>
      </w:r>
    </w:p>
    <w:p>
      <w:pPr>
        <w:spacing w:after="120"/>
        <w:ind w:firstLine="567"/>
        <w:jc w:val="both"/>
      </w:pPr>
      <w:r>
        <w:rPr>
          <w:rFonts w:ascii="Arial" w:cs="Arial" w:eastAsia="Arial" w:hAnsi="Arial"/>
          <w:sz w:val="24"/>
          <w:szCs w:val="24"/>
        </w:rPr>
        <w:t xml:space="preserve">11. При наличии неисполненного судебного решения по уплате своих финансовых обязательств перечислите их:</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12. Я,</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(фамилия, имя, отчество)</w:t>
      </w:r>
    </w:p>
    <w:p>
      <w:pPr>
        <w:spacing w:after="120"/>
        <w:ind w:firstLine="567"/>
        <w:jc w:val="both"/>
      </w:pPr>
      <w:r>
        <w:rPr>
          <w:rFonts w:ascii="Arial" w:cs="Arial" w:eastAsia="Arial" w:hAnsi="Arial"/>
          <w:sz w:val="24"/>
          <w:szCs w:val="24"/>
        </w:rPr>
        <w:t xml:space="preserve">подтверждаю, что представленная выше информация в анкете является достоверной и полной и предоставлена</w:t>
      </w:r>
    </w:p>
    <w:p>
      <w:pPr>
        <w:spacing w:after="120"/>
        <w:ind w:firstLine="567"/>
        <w:jc w:val="both"/>
      </w:pPr>
      <w:r>
        <w:rPr>
          <w:rFonts w:ascii="Arial" w:cs="Arial" w:eastAsia="Arial" w:hAnsi="Arial"/>
          <w:sz w:val="24"/>
          <w:szCs w:val="24"/>
        </w:rPr>
        <w:t xml:space="preserve">в соответствии с моими знаниями и информацией по указанным в анкете вопросам.</w:t>
      </w:r>
    </w:p>
    <w:p>
      <w:pPr>
        <w:spacing w:after="120"/>
        <w:ind w:firstLine="567"/>
        <w:jc w:val="both"/>
      </w:pPr>
      <w:r>
        <w:rPr>
          <w:rFonts w:ascii="Arial" w:cs="Arial" w:eastAsia="Arial" w:hAnsi="Arial"/>
          <w:sz w:val="24"/>
          <w:szCs w:val="24"/>
        </w:rPr>
        <w:t xml:space="preserve">______________________________________________ подпись                      "____" _____________________ _____ г.</w:t>
      </w:r>
    </w:p>
    <w:p>
      <w:pPr>
        <w:spacing w:after="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 необходимо подписать каждую страницу анкеты;</w:t>
      </w:r>
    </w:p>
    <w:p>
      <w:pPr>
        <w:spacing w:after="120"/>
        <w:ind w:firstLine="567"/>
        <w:jc w:val="both"/>
      </w:pPr>
      <w:r>
        <w:rPr>
          <w:rFonts w:ascii="Arial" w:cs="Arial" w:eastAsia="Arial" w:hAnsi="Arial"/>
          <w:sz w:val="24"/>
          <w:szCs w:val="24"/>
        </w:rPr>
        <w:t xml:space="preserve">- исправления в анкете заверяются словами "исправленному верить" и собственноручной подписью.".</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2</w:t>
      </w:r>
      <w:r>
        <w:rPr>
          <w:rFonts w:ascii="Arial" w:cs="Arial" w:eastAsia="Arial" w:hAnsi="Arial"/>
          <w:sz w:val="24"/>
          <w:szCs w:val="24"/>
        </w:rPr>
        <w:t xml:space="preserve"> </w:t>
      </w:r>
      <w:r>
        <w:rPr>
          <w:rFonts w:ascii="Arial" w:cs="Arial" w:eastAsia="Arial" w:hAnsi="Arial"/>
          <w:sz w:val="24"/>
          <w:szCs w:val="24"/>
        </w:rPr>
        <w:t xml:space="preserve">к Положению о деятельности оператора обмена виртуальных активов и ведении Реестра операторов обмена виртуальных активов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АНКЕТА
 акционера (учредителя)/участника, бенефициарного владельца оператора обмена виртуальных активов
 (заполняется юридическим лицом)</w:t>
      </w:r>
    </w:p>
    <w:p>
      <w:pPr>
        <w:spacing w:after="120"/>
        <w:ind w:firstLine="567"/>
        <w:jc w:val="both"/>
      </w:pPr>
      <w:r>
        <w:rPr>
          <w:rFonts w:ascii="Arial" w:cs="Arial" w:eastAsia="Arial" w:hAnsi="Arial"/>
          <w:sz w:val="24"/>
          <w:szCs w:val="24"/>
        </w:rPr>
        <w:t xml:space="preserve">1. Наименование юридического лица ________________________________________________________________________</w:t>
      </w:r>
    </w:p>
    <w:p>
      <w:pPr>
        <w:spacing w:after="120"/>
        <w:ind w:firstLine="567"/>
        <w:jc w:val="both"/>
      </w:pPr>
      <w:r>
        <w:rPr>
          <w:rFonts w:ascii="Arial" w:cs="Arial" w:eastAsia="Arial" w:hAnsi="Arial"/>
          <w:sz w:val="24"/>
          <w:szCs w:val="24"/>
        </w:rPr>
        <w:t xml:space="preserve">(указать полное и сокращенное наименование юридического лица)</w:t>
      </w:r>
    </w:p>
    <w:p>
      <w:pPr>
        <w:spacing w:after="120"/>
        <w:ind w:firstLine="567"/>
        <w:jc w:val="both"/>
      </w:pPr>
      <w:r>
        <w:rPr>
          <w:rFonts w:ascii="Arial" w:cs="Arial" w:eastAsia="Arial" w:hAnsi="Arial"/>
          <w:sz w:val="24"/>
          <w:szCs w:val="24"/>
        </w:rPr>
        <w:t xml:space="preserve">2. Юридический адрес ____________________________________________________________________________________</w:t>
      </w:r>
    </w:p>
    <w:p>
      <w:pPr>
        <w:spacing w:after="120"/>
        <w:ind w:firstLine="567"/>
        <w:jc w:val="both"/>
      </w:pPr>
      <w:r>
        <w:rPr>
          <w:rFonts w:ascii="Arial" w:cs="Arial" w:eastAsia="Arial" w:hAnsi="Arial"/>
          <w:sz w:val="24"/>
          <w:szCs w:val="24"/>
        </w:rPr>
        <w:t xml:space="preserve">3. Дата создания _________________________________________________________________________________________</w:t>
      </w:r>
    </w:p>
    <w:p>
      <w:pPr>
        <w:spacing w:after="120"/>
        <w:ind w:firstLine="567"/>
        <w:jc w:val="both"/>
      </w:pPr>
      <w:r>
        <w:rPr>
          <w:rFonts w:ascii="Arial" w:cs="Arial" w:eastAsia="Arial" w:hAnsi="Arial"/>
          <w:sz w:val="24"/>
          <w:szCs w:val="24"/>
        </w:rPr>
        <w:t xml:space="preserve">4. ИНН 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5. Дата регистрации в уполномоченном органе по регистрации юридических лиц</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свидетельства о государственной регистрации/перерегистрации)</w:t>
      </w:r>
    </w:p>
    <w:p>
      <w:pPr>
        <w:spacing w:after="120"/>
        <w:ind w:firstLine="567"/>
        <w:jc w:val="both"/>
      </w:pPr>
      <w:r>
        <w:rPr>
          <w:rFonts w:ascii="Arial" w:cs="Arial" w:eastAsia="Arial" w:hAnsi="Arial"/>
          <w:sz w:val="24"/>
          <w:szCs w:val="24"/>
        </w:rPr>
        <w:t xml:space="preserve">6. Наименование и расположение банков, в которых открыты расчетные и иные счета: _____________________________</w:t>
      </w:r>
    </w:p>
    <w:p>
      <w:pPr>
        <w:spacing w:after="120"/>
        <w:jc w:val="both"/>
      </w:pPr>
      <w:r>
        <w:rPr>
          <w:rFonts w:ascii="Arial" w:cs="Arial" w:eastAsia="Arial" w:hAnsi="Arial"/>
          <w:sz w:val="24"/>
          <w:szCs w:val="24"/>
        </w:rPr>
        <w:t xml:space="preserve">7. Укажите, имеет ли юридическое лицо акционеров (участников) - физических лиц, постоянно проживающих
 в оффшорной зоне: ______________________________________________________________________________________</w:t>
      </w:r>
    </w:p>
    <w:p>
      <w:pPr>
        <w:spacing w:after="120"/>
        <w:jc w:val="both"/>
      </w:pPr>
      <w:r>
        <w:rPr>
          <w:rFonts w:ascii="Arial" w:cs="Arial" w:eastAsia="Arial" w:hAnsi="Arial"/>
          <w:sz w:val="24"/>
          <w:szCs w:val="24"/>
        </w:rPr>
        <w:t xml:space="preserve">8. Укажите, вовлечено ли юридическое лицо в судебные споры с кем-либо по финансовой деятельности, если
 да -  укажите подробно о деталях судебного спора (истец, ответчик, предмет спора, в какой судебной инстанции
 рассматривается судебное дело, на каком этапе рассмотрения находится дело) за последние три года</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9. При наличии неисполненного судебного решения по уплате своих финансовых обязательств перечислите их:</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Подпись руководителя юридического лица</w:t>
      </w:r>
    </w:p>
    <w:p>
      <w:pPr>
        <w:spacing w:after="120"/>
        <w:ind w:firstLine="567"/>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aqoek3hovq5cwknqa9uw">
      <w:r>
        <w:rPr>
          <w:rFonts w:ascii="Arial" w:cs="Arial" w:eastAsia="Arial" w:hAnsi="Arial"/>
          <w:color w:val="132D3F"/>
          <w:sz w:val="16"/>
          <w:szCs w:val="16"/>
          <w:u w:val="single"/>
        </w:rPr>
        <w:t xml:space="preserve">dalil.kg/document/230021058</w:t>
      </w:r>
    </w:hyperlink>
  </w:p>
  <w:p>
    <w:pPr>
      <w:spacing w:after="0" w:before="40"/>
      <w:jc w:val="center"/>
    </w:pPr>
    <w:hyperlink w:history="1" r:id="rIdvrkvdxz95f7po9kpt5s3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vb-ttefnny_h-53gwy6k" Type="http://schemas.openxmlformats.org/officeDocument/2006/relationships/hyperlink" Target="https://dalil.kg/document/230021522" TargetMode="External"/><Relationship Id="rId-bvvuksroy-tw5wx5z0fc" Type="http://schemas.openxmlformats.org/officeDocument/2006/relationships/hyperlink" Target="https://dalil.kg/document/112346#st_10" TargetMode="External"/><Relationship Id="rIdsodeu25ahkyy1nizlgtj-" Type="http://schemas.openxmlformats.org/officeDocument/2006/relationships/hyperlink" Target="https://dalil.kg/document/112346#st_16" TargetMode="External"/><Relationship Id="rId1e-ptszxbr5zlyq19p8qu" Type="http://schemas.openxmlformats.org/officeDocument/2006/relationships/hyperlink" Target="https://dalil.kg/document/112346#st_18" TargetMode="External"/><Relationship Id="rId8pmdtqdsfltg4cqqsizny" Type="http://schemas.openxmlformats.org/officeDocument/2006/relationships/hyperlink" Target="https://dalil.kg/document/112346#st_25" TargetMode="External"/><Relationship Id="rIdkfbtpm5g3s01luxu8f7kh" Type="http://schemas.openxmlformats.org/officeDocument/2006/relationships/hyperlink" Target="https://dalil.kg/document/112346#st_27" TargetMode="External"/><Relationship Id="rIdnut25q6onpmqzf23l8g4k" Type="http://schemas.openxmlformats.org/officeDocument/2006/relationships/hyperlink" Target="https://dalil.kg/document/112346#st_28" TargetMode="External"/><Relationship Id="rIdznscalb3svgwbv6cievy-" Type="http://schemas.openxmlformats.org/officeDocument/2006/relationships/hyperlink" Target="https://dalil.kg/document/112301#st_13" TargetMode="External"/><Relationship Id="rId3eztfq95kgc9zppzyhmaq" Type="http://schemas.openxmlformats.org/officeDocument/2006/relationships/hyperlink" Target="https://dalil.kg/document/112301#st_17" TargetMode="External"/><Relationship Id="rIdqpxme35dpkwtvx7wefuh2" Type="http://schemas.openxmlformats.org/officeDocument/2006/relationships/hyperlink" Target="https://dalil.kg/document/158757" TargetMode="External"/><Relationship Id="rIdinehbtwrbo6rclffplmip" Type="http://schemas.openxmlformats.org/officeDocument/2006/relationships/hyperlink" Target="https://dalil.kg/document/158758" TargetMode="External"/><Relationship Id="rIdgdekzznub_bmegftffuws" Type="http://schemas.openxmlformats.org/officeDocument/2006/relationships/hyperlink" Target="https://dalil.kg/document/158757" TargetMode="External"/><Relationship Id="rIddm7ruwvog5kbpelht8jld" Type="http://schemas.openxmlformats.org/officeDocument/2006/relationships/hyperlink" Target="https://dalil.kg/document/230005951" TargetMode="External"/><Relationship Id="rIde_2_kegshdrgn3bnqxt7e" Type="http://schemas.openxmlformats.org/officeDocument/2006/relationships/hyperlink" Target="https://dalil.kg/document/230005951" TargetMode="External"/><Relationship Id="rIdsmtfxocczttbt8ubibptp" Type="http://schemas.openxmlformats.org/officeDocument/2006/relationships/hyperlink" Target="https://dalil.kg/document/230005951" TargetMode="External"/><Relationship Id="rIdlct-fvx2exxpean7vabqz" Type="http://schemas.openxmlformats.org/officeDocument/2006/relationships/hyperlink" Target="https://dalil.kg/document/230005951" TargetMode="External"/><Relationship Id="rIdgnnsnlgl-grpt4zsgr7wc" Type="http://schemas.openxmlformats.org/officeDocument/2006/relationships/hyperlink" Target="https://dalil.kg/document/112346" TargetMode="External"/><Relationship Id="rIdlslje6hbgjvvo9zvhnruu" Type="http://schemas.openxmlformats.org/officeDocument/2006/relationships/hyperlink" Target="https://dalil.kg/document/112346"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aqoek3hovq5cwknqa9uw" Type="http://schemas.openxmlformats.org/officeDocument/2006/relationships/hyperlink" Target="https://dalil.kg/document/230021058" TargetMode="External"/><Relationship Id="rIdvrkvdxz95f7po9kpt5s3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2026-09-27T13:38:32.446Z</dcterms:created>
  <dcterms:modified xsi:type="dcterms:W3CDTF">2026-09-27T13:38:32.446Z</dcterms:modified>
</cp:coreProperties>
</file>

<file path=docProps/custom.xml><?xml version="1.0" encoding="utf-8"?>
<Properties xmlns="http://schemas.openxmlformats.org/officeDocument/2006/custom-properties" xmlns:vt="http://schemas.openxmlformats.org/officeDocument/2006/docPropsVTypes"/>
</file>