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февраля 2025 года № 95-р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Вашингтон, ратифицированного </w:t>
      </w:r>
      <w:hyperlink w:history="1" r:id="rIdymzrvptb2wjw5tshn_5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о финансировании между Кыргызской Республикой и Международной ассоциацией развития (Всемирным банком) по второму проекту "Региональное экономическое развитие" в Баткенской области, подписанного 20 апреля 2022 года в городе Вашингтон", в части реализации компонента 2 "Укрепление агропродовольственных кластеров",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8bnhxbk_jmp1chfb4e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марта 2024 года № 102-р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Министерству финансов Кыргызской Республики открыть счет в Национальном банке Кыргызской Республики в национальной валюте Кыргызской Республики с целью аккумулирования возвратных средств по второму проекту "Региональное экономическое развитие" в Баткенской области для дальнейшего их использования по решению Кабинета Министров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проекте</w:t>
      </w:r>
      <w:r>
        <w:rPr>
          <w:rFonts w:ascii="Arial" w:cs="Arial" w:eastAsia="Arial" w:hAnsi="Arial"/>
          <w:sz w:val="24"/>
          <w:szCs w:val="24"/>
        </w:rPr>
        <w:t xml:space="preserve"> "Товарный кредит и грант на развитие сельскохозяйственной продукции для производителей Баткенской области", утвержденном вышеуказанным распоряжением: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 "Товарный кредит":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вторую-четвертую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22"/>
        <w:gridCol w:w="8256"/>
      </w:tblGrid>
      <w:tr>
        <w:tc>
          <w:tcPr>
            <w:tcW w:type="dxa" w:w="19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кредитования</w:t>
            </w:r>
          </w:p>
        </w:tc>
        <w:tc>
          <w:tcPr>
            <w:tcW w:type="dxa" w:w="82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Установление следующих размеров: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 одного сельскохозяйственного производителя - до 2000000 (два миллиона) сомов;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сельскохозяйственных кооперативов, фермерских хозяйств, семеноводческих хозяйств, племенных хозяйств - до 20000000 (двадцать миллионов) сомов;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предприятий пищевой и перерабатывающей промышленности, агро-торгово-логистических центров, поставщиков сельскохозяйственных товаров и услуг - до 35000000 (тридцать пять миллионов) сомов.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При этом сумма на создание 1 цепочки добавленной стоимости (продуктивного партнерства) не должна превышать 100000000 (сто миллионов) сомов.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повышения эффективности использования кредитных средств и оперативного управления Комитет продуктивного партнерства проектных предложений при Министерстве водных ресурсов, сельского хозяйства и перерабатывающей промышленности Кыргызской Республики наделен полномочиями перераспределять неосвоенные средства между цепочками добавленной стоимости</w:t>
            </w:r>
          </w:p>
        </w:tc>
      </w:tr>
      <w:tr>
        <w:tc>
          <w:tcPr>
            <w:tcW w:type="dxa" w:w="1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Характеристика категорий</w:t>
            </w:r>
          </w:p>
        </w:tc>
        <w:tc>
          <w:tcPr>
            <w:tcW w:type="dxa" w:w="8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индивидуальный сельскохозяйственный производитель/индивидуальный предприниматель в сфере сельского хозяйства;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фермерские хозяйства;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сельскохозяйственные кооперативы;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семеноводческие и племенные хозяйства;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предприятия пищевой и перерабатывающей промышленности независимо от формы регистрации предпринимательской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агро-торгово-логистические центры независимо от формы регистрации предпринимательской деятельности;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поставщики, предоставляющие сельскохозяйственные товары и услуги, независимо от формы регистрации предпринимательской деятельности</w:t>
            </w:r>
          </w:p>
        </w:tc>
      </w:tr>
      <w:tr>
        <w:tc>
          <w:tcPr>
            <w:tcW w:type="dxa" w:w="1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Условие участия в проекте</w:t>
            </w:r>
          </w:p>
        </w:tc>
        <w:tc>
          <w:tcPr>
            <w:tcW w:type="dxa" w:w="82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Участие в цепочке добавленной стоимости (продуктивное партнерство).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Наличие Соглашения (контракта) между партнерами внутри цепочки добавленной стоимости о продуктивном партнерстве.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категорий получателей товарных кредитов на развитие сельскохозяйственной продукции обязательными условиями являются: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(в собственности или на арендных условиях) земельных участков для выращивания, разведения, переработки, поставки сельскохозяйственной продукции;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резидентом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надлежащим образом в соответствующих государственных органах Кыргызской Республики, включая Государственную налоговую службу при Министерстве финансов Кыргызской Республики и Социальный фонд Кыргызской Республики при Кабинете Министров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задолженности заемщика по ранее выданным бюджетным кредитам;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просроченной задолженности заемщика по уплате налогов, отчислений в Социальный фонд при Кабинете Министров Кыргызской Республики и других обязательных платежей в бюджет, установленных законодательством Кыргызской Республики;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субъектом, реализующим стартап-проекты в соответствии с нормами </w:t>
            </w:r>
            <w:hyperlink w:history="1" r:id="rIdzs6kfu7bjoyxcjfengiu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бюджета, утвержденного </w:t>
            </w:r>
            <w:hyperlink w:history="1" r:id="rIdnaozo8uuljojm7ux6c-l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"Об утверждении </w:t>
            </w:r>
            <w:hyperlink w:history="1" r:id="rIds4p6tfn6ggcdzvl32bxl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работе с бюджетными кредитами, предоставляемыми из республиканского бюджета" от 29 июля 2022 года № 406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шестую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3"/>
        <w:gridCol w:w="8215"/>
      </w:tblGrid>
      <w:tr>
        <w:tc>
          <w:tcPr>
            <w:tcW w:type="dxa" w:w="19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субсидирования</w:t>
            </w:r>
          </w:p>
        </w:tc>
        <w:tc>
          <w:tcPr>
            <w:tcW w:type="dxa" w:w="8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 от стоимости товара за счет средств проекта на следующие цели: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сельскохозяйственной, ирригационной, поливной и специальной техники, автотранспортных средств сельскохозяйственного назначения, оборудования сортировки, переработки и упаковки сельскохозяйственной продукции, а также приобретение строительных материалов, оборудования, необходимых для строительства торгово-логистических центров, предприятий переработки;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установка инфраструктуры дождевально-капельной системы;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высокопродуктивных племенных сельскохозяйственных животных и посадочных материалов плодово-ягодных культур на безвирусной основе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второй строке главы 2 "На грантовой основе" слова "2200000 (два миллиона двести тысяч)" заменить словами "10000000 (десять миллионов)".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sjevfpqne_aj9_aby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dalil.kg/document/230022858</w:t>
      </w:r>
    </w:hyperlink>
  </w:p>
  <w:p>
    <w:pPr>
      <w:spacing w:after="0" w:before="40"/>
      <w:jc w:val="center"/>
    </w:pPr>
    <w:hyperlink w:history="1" r:id="rIdmkaiyvldp4_9cy6hy_a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zrvptb2wjw5tshn_5pb" Type="http://schemas.openxmlformats.org/officeDocument/2006/relationships/hyperlink" Target="https://dalil.kg/document/112397" TargetMode="External"/><Relationship Id="rIdy8bnhxbk_jmp1chfb4ez7" Type="http://schemas.openxmlformats.org/officeDocument/2006/relationships/hyperlink" Target="https://dalil.kg/document/230002839" TargetMode="External"/><Relationship Id="rIdzs6kfu7bjoyxcjfengiuq" Type="http://schemas.openxmlformats.org/officeDocument/2006/relationships/hyperlink" Target="https://dalil.kg/document/159372" TargetMode="External"/><Relationship Id="rIdnaozo8uuljojm7ux6c-lo" Type="http://schemas.openxmlformats.org/officeDocument/2006/relationships/hyperlink" Target="https://dalil.kg/document/159364" TargetMode="External"/><Relationship Id="rIds4p6tfn6ggcdzvl32bxle" Type="http://schemas.openxmlformats.org/officeDocument/2006/relationships/hyperlink" Target="https://dalil.kg/document/1593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sjevfpqne_aj9_aby6a" Type="http://schemas.openxmlformats.org/officeDocument/2006/relationships/hyperlink" Target="https://dalil.kg/document/230022858" TargetMode="External"/><Relationship Id="rIdmkaiyvldp4_9cy6hy_a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2026-09-27T00:22:21.231Z</dcterms:created>
  <dcterms:modified xsi:type="dcterms:W3CDTF">2026-09-27T00:22:21.231Z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