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2025 года № 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формирования и развития опорных точек роста в регионах Кыргызской Республики на 2025-2030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sw5vjfeyiwayrlvckf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населенных пунктов Кыргызской Республики в рамках реализации указов Президента Кыргызской Республики "О </w:t>
      </w:r>
      <w:hyperlink w:history="1" r:id="rIdnl3aks2vrroya0ncwys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</w:t>
      </w:r>
      <w:hyperlink w:history="1" r:id="rIdnny_gp2h2qadcmxv5z-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2021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435</w:t>
        </w:r>
      </w:hyperlink>
      <w:r>
        <w:rPr>
          <w:rFonts w:ascii="Arial" w:cs="Arial" w:eastAsia="Arial" w:hAnsi="Arial"/>
          <w:sz w:val="24"/>
          <w:szCs w:val="24"/>
        </w:rPr>
        <w:t xml:space="preserve"> и "О дальнейших мерах по совершенствованию административно-территориального устройства и развитию регионов Кыргызской Республики" </w:t>
      </w:r>
      <w:hyperlink w:history="1" r:id="rIdjbjkwawfmusml31tyqg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октября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350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пунктом 193 Плана действий Кабинета Министров Кыргызской Республики на 2024 год, утвержденного </w:t>
      </w:r>
      <w:hyperlink w:history="1" r:id="rIdp6dv8s96eqswvlgy4-q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января 2024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14-р, статьями </w:t>
      </w:r>
      <w:hyperlink w:history="1" r:id="rIdkwixbpegfu1fm-4fkwm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sppimpcvdcadk3ziw0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kwqnjlnlbzhgjxbhb-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развития опорных точек роста в регионах Кыргызской Республики на 2025-2030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Программы (далее - План мероприятий) согласно </w:t>
      </w:r>
      <w:hyperlink w:history="1" r:id="rIdxzaeef0mbqol5jfgp58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реализации Программы согласно </w:t>
      </w:r>
      <w:hyperlink w:history="1" r:id="rIdljq5z9k_ckjgkr-qfqe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ресурсной стоимости Программы согласно </w:t>
      </w:r>
      <w:hyperlink w:history="1" r:id="rIdemwtkdztl7rkjfhtyo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полномочным представителям Президента Кыргызской Республики в областях,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реализации Программы и Плана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полугодия, не позднее 10 числа месяца, следующего за отчетным периодом, предоставлять информацию о ходе реализации Программы и Плана мероприятий в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каждого года, не позднее 10 числа месяца, следующего за отчетным периодом, предоставлять информацию о достижении индикаторов реализации Программы в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по итогам каждого полугодия, не позднее 20 числа месяца, следующего за отчетным периодом, предоставлять информацию о ходе реализации Программы и Плана мероприятий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25 февраля 2025 года № 14 (3670)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формирования и развития опорных точек роста в регионах Кыргызской Республики на 2025-2030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trj3v0cwnsnvkauqvb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953"/>
        <w:gridCol w:w="3262"/>
        <w:gridCol w:w="824"/>
        <w:gridCol w:w="2587"/>
        <w:gridCol w:w="1330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Разработка мастер-планов для опорных точек роста и реализация стандартов регионального развития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методики разработки мастер-планов для опорной точки роста и стандартов развития опорной точки роста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методику разработки мастер-плана для опорной точки роста, включающую стандарты развития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методики разработки мастер-плана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Минстрой, МПРЭТН, МТК, НАИ,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тестирование проекта методики разработки мастер-плана для опорной точки роста в одном из областных центров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практического применения доработана методика разработки мастер-плана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Союз МСУ (по согласованию), 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методику разработки мастер-плана, предусматривающую стандарты развития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МЭК утверждена методика разработки мастер-плана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мастер-планов опорных точек роста, внедрение и реализация стандартов развития опорной точки роста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во всех городах областного значения, в потенциальных опорных точках роста по разработке мастер-планов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ОМСУ по разработке мастер-планов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консультационную помощь исполнительным ОМСУ в опорной точке роста по разработке мастер-планов опорных точек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мастер-планов на основе методики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мастер-планы всех областных центров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ОМСУ об утверждении мастер-планов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и консультации по внедрению стандартов развития опорных точек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ОМСУ проинформированы и обучены применению стандартов по подготовке и реализации программ развития и мастер-планов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Минстрой, МПРЭТН, МТК, НАИ,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реализации мастер-планов, внедрения стандартов развития опорных точек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оценки реализации мастер-планов, соответствия стандартам даны рекомендации по развитию территорий опорных точек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Минстрой, МПРЭТН, МТК, НАИ,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Привлечение инвесторов и развитие перерабатывающей промышленности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опорных точках роста благоприятных условий для привлечения инвестиций, в том числе для переработки сельскохозяйственной продукции региона, создания кластерного производства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каждой опорной точке роста промышленные зоны с развитой промышленной инфраструктурой: подведение систем водоснабжения, водоотведения, энергоснабжения, дорожной инфраструктурой для привлечения инвесторов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благоприятные условия для привлечения инвесторов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согласованию), МЭК, Минстрой, НАИ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опорных точках роста проводить семинары с привлечением участников сельскохозяйственных кластеров для более эффективного взаимодействия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взаимодействие "якорного предприятия" кластера с участниками кластера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инвестиционном соглашении включать требования об обязательствах инвесторов влиять на повышение качества сельскохозяйственной продукции в соответствии со стандартами качества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"якорного предприятия", находящегося на территории опорной точки роста, повышена эффективная деятельность сельхозпроизводителей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опорных точках роста обеспечить реализацию </w:t>
            </w:r>
            <w:hyperlink w:history="1" r:id="rIdv7qo7o--9qovqhsuwykw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развития, утвержденной </w:t>
            </w:r>
            <w:hyperlink w:history="1" r:id="rIdtvnhsueppktud-jf7wme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hyperlink w:history="1" r:id="rIdcnjfsndcrxzntajxx6g8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развития" от 12 декабря 2023 года № 671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индикаторы Программы формирования и развития опорных точек роста в регионах Кыргызской Республики на 2025-2030 годы, которые соответствуют требованиям для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креативных индустрий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информационные кампании о Парке креативных индустрий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для ОМСУ, предпринимателей об опорных точках роста, Парке креативных индустрий, возможностях применения налоговых льгот, предусмотренных для креативной деятельности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поддержке Ассоциации креативных индустрий проводить обучение о режимах Парка креативных индустрий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для ОМСУ, предпринимателей опорных точек роста по вопросу реализации </w:t>
            </w:r>
            <w:hyperlink w:history="1" r:id="rIdkrvdrtoj1_c-np7e1hm6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Парке креативных индустрий"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и консультации для частного сектора по развитию креативных индустрий в опорной точке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50 человек получат знания и навыки по реализации креативных проектов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МЭК,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точечную консультационную поддержку предпринимателям, заявившим о желании стать участниками Парка креативных индустрий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представители опорной точки роста становятся участниками Парка креативных индустрий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Улучшение инфраструктуры опорной точки роста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наращивание финансирования объектов инфраструктуры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ежегодные планы по реализации инфраструктурных проектов, финансируемых из местного бюджета и других источников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решением ОМСУ перечни инфраструктурных проектов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формировать муниципальный заказ на реализацию инфраструктурных проектов, в том числе для муниципальных предприятий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средств местных бюджетов направлены на решение инфраструктурных вопросов. Деятельность муниципальных предприятий переведена на коммерческую основу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Союз 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ипотечного жилищного строительства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в каждой опорной точке роста земельный участок для государственного ипотечного кредитования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250 квартир ежегодно начиная с 2027 года предоставляются в ипотеку жителям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зонирование территории опорной точки роста с выделением земельных участков под ипотечное жилищное строительство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2026-2027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основа для последовательного и обоснованного выделения земельных участков под ипотечное жилищное строительство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Создание экономически устойчивой системы предоставления базовых услуг населению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управления услугами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 повышению квалификации муниципальных служащих вопросы обоснованного расчета тарифов на коммунальные и другие виды услуг жизнеобеспечения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потенциал муниципальных служащих по проведению обоснованной тарифной политики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АМУЦА (по согласованию), Союз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принятие тарифов на коммунальные и другие виды услуг на основе утвержденных методик: питьевое водоснабжение, вывоз и утилизация ТБО, услуг теплоснабжения и водоотведения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2025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основа для экономической устойчивости поставщиков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Союз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каждой опорной точке роста биллинговые системы по учету и улучшению сбора платежей за услуги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стабильная доходная база поставщиков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нагрузка на местный бюджет за счет увеличения объема платежей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МЦР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частного сектора в предоставление услуг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положений </w:t>
            </w:r>
            <w:hyperlink w:history="1" r:id="rIdav3ik9i2l2iushudcp3o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заказе" на территории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Некоммерческий сектор вовлечен в предоставление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частного сектора в предоставлении услуг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сектор опорной точки роста вовлечен в предоставление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проводить на региональном уровне семинары по обсуждению опыта вовлечения частного сектора в организацию услуг на основе опыта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на опыте опорной точки роста вовлекают частный сектор в сферу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Привлечение в опорные точки роста передовых учебных заведений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 опорные точки роста передовых высших учебных заведений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конкретные проекты по привлечению передовых учебных заведений на территорию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Сформировано обоснование для привлечения передовых учебных заведений на территорию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сферы образования с выделением финансирования из республиканского и местного бюджетов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2025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партнерства государственных органов и ОМСУ в развитии сферы образования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Союз МСУ (по согласованию),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развитию образования в опорной точке роста с демонстрацией предлагаемых благоприятных условий для заведений высшего профессионального образования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Передовые заведения высшего профессионального образования Кыргызской Республики получили информацию о возможностях размещения своих учебных организаций на территории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проводить оценку потенциала заведений высшего профессионального образования в опорной точке роста на их соответствие требованиям, обозначенным в Программе формирования и развития опорных точек роста в регионах Кыргызской Республики на 2025-2030 годы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31 марта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оценки скорректированы действия заинтересованных сторон в сфере образования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подготовки квалифицированных кадров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опорной точке роста на базе заведений среднего профессионального образования краткосрочные и среднесрочные курсы для подготовки специалистов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января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опорной точке роста сформировано большое количество квалифицированных специалистов, что способствует привлекательности опорной точки роста для инвесторов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образовательные учреждения в перечень учреждений, которым муниципальное имущество будет предоставляться на льготных условиях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заведений среднего профессионального образования созданы условия для получения имущества за счет средств местного бюджета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запуска проектов ГЧП в сфере среднего профессионального образования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сектор обеспечен дополнительными ресурсами для подготовки квалифицированных кадров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МНВОИ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Создание условий для вовлечения граждан в сферу культуры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вовлечения граждан в сферу культуры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не менее 2 раз в год обучающие семинары по повышению потенциала работников сферы культуры в части применения новых креативных методов в сфере культуры, в том числе проектов ГЧП в сфере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2025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знания и навыки повысили активность граждан в сфере культуры на территории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повышения квалификации работников финансовой сфере темы по возможностям субсидирования сферы культуры из местного бюджета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опорной точке роста внедрены новые методы финансовой поддержки сферы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опорной точки роста с выделением финансирования сферы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партнерства государственных органов и ОМСУ в развитии сферы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МКИСМП, Союз 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сферы культуры на основе ГЧП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для опорной точки роста учебную программу по внедрению проектов ГЧП в сфере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Инициативные граждане и организации получили возможность в партнерстве с органами власти реализовывать свои проекты в сфере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консультативную помощь конкретным проектам ГЧП в сфере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каждой опорной точке роста реализованы проекты ГЧП в сфере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опыту реализации проектов ГЧП в опорной точке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МКСИМП, ОМСУ получили информацию о возможностях по распространению опыта проектов ГЧП в сфере культуры в своих муниципалитетах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АМУЦА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местного управления Центральной Азии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реализации Программы формирования и развития опорных точек роста в регионах Кыргызской Республики на 2025-2030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1954"/>
        <w:gridCol w:w="700"/>
        <w:gridCol w:w="625"/>
        <w:gridCol w:w="535"/>
        <w:gridCol w:w="535"/>
        <w:gridCol w:w="535"/>
        <w:gridCol w:w="535"/>
        <w:gridCol w:w="535"/>
        <w:gridCol w:w="910"/>
        <w:gridCol w:w="847"/>
        <w:gridCol w:w="1095"/>
        <w:gridCol w:w="1146"/>
      </w:tblGrid>
      <w:tr>
        <w:tc>
          <w:tcPr>
            <w:tcW w:type="dxa" w:w="2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9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Показатель</w:t>
            </w:r>
          </w:p>
        </w:tc>
        <w:tc>
          <w:tcPr>
            <w:tcW w:type="dxa" w:w="7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Единица измерения</w:t>
            </w:r>
          </w:p>
        </w:tc>
        <w:tc>
          <w:tcPr>
            <w:tcW w:type="dxa" w:w="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*Базовый год
 2024 г.</w:t>
            </w:r>
          </w:p>
        </w:tc>
        <w:tc>
          <w:tcPr>
            <w:tcW w:type="dxa" w:w="267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Промежуточные индикаторы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Целевые индикаторы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Соответствие ЦУР</w:t>
            </w:r>
          </w:p>
        </w:tc>
        <w:tc>
          <w:tcPr>
            <w:tcW w:type="dxa" w:w="10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  <w:tc>
          <w:tcPr>
            <w:tcW w:type="dxa" w:w="11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2025 г.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2026 г.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2027 г.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2028 г.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2029 г.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2030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Разработка мастер-планов ОТР и реализация стандартов регионального развития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населенных пунктов имеющих статус ОТР, в которых утверждены мастер-планы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ПП ПКР в областях, Союз МСУ (по согласованию)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Привлечение инвесторов и развитие перерабатывающей промышленности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 объемов прямых инвестиций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20%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20%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60% по отношению к 2024 году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ЦУР 1, 2, 8, 9, 11, 12, 13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ПП ПКР в областях, НАИ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Территориальное подразделение НСК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 объемов экспорта продукции перерабатывающей промышленности по сравнению с предыдущим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10%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на 45% по отношению к 2024 году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ПП ПКР в областях, МВСХПП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Территориальное подразделение НСК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проведенных инвестиционных конкурсов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Единиц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ПП ПКР в областях, НАИ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Соотношение средней заработной платы работников производственной сферы ОТР к средней заработной плате в области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Сом/месяц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Больше на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Больше на 15%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Больше на 20%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Больше на 20%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Больше на 20%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ПП ПКР в областях, МТСОМ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ПП ПКР в областях, МТСОМ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Улучшение инфраструктуры опорной точки развития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объема финансирования объектов городской инфраструктуры по отношению к общим расходам местных бюджетов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ЦУР 9, 11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ПП ПКР в областях, МФ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Удельный вес дорог с твердым покрытием, которые имеют оценку "хорошо" или "удовлетворительно"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40%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МТК, МФ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МТК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парковой зоны по отношению к общей площади населенного пункта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МКИСМП, МФ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Создание экономически устойчивой системы предоставления базовых услуг населению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Собираемость оплаты за коммунальные услуги не менее чем 90%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90%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проектов ГЧП в сфере услуг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Единиц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3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НАМ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МСУ (по согласованию)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Привлечение в опорные точки развития передовых учебных заведений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студентов и учащихся по отношению к общему числу жителей города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8%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ЦУР 4, 8, 9, 11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ОМСУ (по согласованию)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Территориальное подразделение МОН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заведений высшего профессионального образования ОТР, включенных в Национальный рейтинг заведений высшего профессионального образования Кыргызской Республики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Единиц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ОМСУ (по согласованию)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Территориально</w:t>
            </w:r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подразделение МОН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научных работ, подготовленных в заведениях высшего профессионального образования ОТР, опубликованных в зарубежных научных журналах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Единиц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Территориальное подразделение МОН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 Расширение числа граждан, вовлеченных в сферу культуры, искусства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Ежегодный рост числа детей, молодежи на постоянной основе занимающихся в музыкальных школах, детских художественных школах, школах искусств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ЦУР 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МКИСМП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 числа посетителей местных областных театров по сравнению с предыдущим годом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МКИСМП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финансирования сферы культуры за счет средств местного бюджета по отношению ко всем расходам местного бюджета ОТР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*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8%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8%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 (по согласованию), МКИСМП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МСУ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Примечание. Базовые показатели устанавливаются исполнительным органом местного самоуправления ОТР и согласовываются с Министерством экономики и коммерции Кыргызской Республики.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государственно-частное партнерство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Цели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опорная точка роста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ресурсной стоимости Программы формирования и развития опорных точек роста в регионах Кыргызской Республики на 2025-2030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mygpak5vj-hfk2tyvy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1261"/>
        <w:gridCol w:w="1529"/>
        <w:gridCol w:w="837"/>
        <w:gridCol w:w="785"/>
        <w:gridCol w:w="426"/>
        <w:gridCol w:w="426"/>
        <w:gridCol w:w="426"/>
        <w:gridCol w:w="426"/>
        <w:gridCol w:w="519"/>
        <w:gridCol w:w="519"/>
        <w:gridCol w:w="519"/>
        <w:gridCol w:w="519"/>
        <w:gridCol w:w="426"/>
        <w:gridCol w:w="426"/>
        <w:gridCol w:w="426"/>
        <w:gridCol w:w="426"/>
      </w:tblGrid>
      <w:tr>
        <w:tc>
          <w:tcPr>
            <w:tcW w:type="dxa" w:w="2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5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7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7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20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7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5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Разработка мастер-планов для опорных точек роста и реализация стандартов регионального развития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методики формирования мастер-планов для ОТР и стандартов развития ОТР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методику разработки мастер-плана для ОТР, включающую стандарты развития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тестирование проекта методики разработки мастер-плана для ОТР в одном из областных центров КР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254,7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методику разработки мастер-плана, предусматривающую стандарты развития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мастер-планов ОТР, внедрение и реализация стандартов развития ОТР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во всех городах областного значения в потенциальных ОТР по разработке мастер-планов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247,7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247,7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консультативную помощь исполнительным органам ОМСУ в ОТР по разработке мастер-планов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мастер-планы всех областных центров КР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и консультации по внедрению стандартов развития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реализации мастер-планов, внедрения стандартов развития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946,8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1108,8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-330,0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-330,0</w:t>
            </w:r>
          </w:p>
        </w:tc>
      </w:tr>
      <w:tr>
        <w:tc>
          <w:tcPr>
            <w:tcW w:type="dxa" w:w="10175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Привлечение инвесторов и развитие перерабатывающей промышленности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ОТР благоприятных условий для привлечения инвестиций, в том числе для переработки сельскохозяйственной продукции региона, создания кластерного производства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каждой ОТР промышленные зоны с развитой промышленной инфраструктурой: подведение систем водоснабжения, водоотведения, энергоснабжения, дорожной инфраструктурой для привлечения инвесторов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ОТР проводить семинары с привлечением участников сельскохозяйственных кластеров для более эффективного взаимодействия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Включать в инвестиционные соглашения требования об обязательствах инвесторов для влияния на повышение качества сельскохозяйственной продукции в соответствии со стандартами качества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ОТР обеспечить реализацию </w:t>
            </w:r>
            <w:hyperlink w:history="1" r:id="rId8oec6t7hecuhxevvspj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развития, утвержденной </w:t>
            </w:r>
            <w:hyperlink w:history="1" r:id="rIdtrfv1oxinul4ferlyctm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"Об утверждении </w:t>
            </w:r>
            <w:hyperlink w:history="1" r:id="rIdokrf4qsu65amfocjm1gr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развития" от 12 декабря 2023 года № 671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742,9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креативных индустрий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информационные кампании о Парке креативных индустрий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поддержке Ассоциации креативных индустрий проводить обучение о режимах Парка креативных индустрий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78,15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78,15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и консультации для частного сектора по развитию креативных индустрий в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точечную консультационную поддержку предпринимателям, заявившим о желании стать участниками Парка креативных индустрий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518,8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1276,5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1795,3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-300,0</w:t>
            </w:r>
          </w:p>
        </w:tc>
      </w:tr>
      <w:tr>
        <w:tc>
          <w:tcPr>
            <w:tcW w:type="dxa" w:w="10175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Улучшение инфраструктуры ОТР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увеличение финансирования объектов инфраструктуры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ежегодные планы по реализации инфраструктурных проектов, финансируемых из местного бюджета и других источников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96,8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формировать муниципальный заказ на реализацию инфраструктурных проектов, в том числе для муниципальных предприятий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ипотечного жилищного строительства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в каждой ОТР земельный участок для государственного ипотечного кредитования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зонирование территории ОТР с выделением земельных участков под ипотечное жилищное строительство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139,7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1036,9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1176,6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5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Создание экономически устойчивой системы предоставления базовых услуг населению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управления услугами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 повышению квалификации муниципальных служащих вопросы обоснованного расчета тарифов на коммунальные и другие виды услуг жизнеобеспечения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принятие тарифов на коммунальные и другие виды услуг на основе утвержденных методик: питьевое водоснабжение, утилизация ТБО, услуг теплоснабжения и водоотведения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каждой ОТР биллинговые системы по учету и улучшению сбора платежей за услуги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частного сектора в предоставление услуг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положений </w:t>
            </w:r>
            <w:hyperlink w:history="1" r:id="rIdu8yxetnyf4j7jlcofx-z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государственном социальном заказе" на территории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частного сектора в предоставлении услуг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проводить на региональном уровне семинары по обсуждению опыта вовлечения частного сектора в организацию услуг на основе опыта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123,2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185,7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1360,8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1546,5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-1160,0</w:t>
            </w:r>
          </w:p>
        </w:tc>
      </w:tr>
      <w:tr>
        <w:tc>
          <w:tcPr>
            <w:tcW w:type="dxa" w:w="10175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Привлечение в опорные точки роста передовых учебных заведений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 ОТР передовых высших учебных заведений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конкретные проекты по привлечению передовых учебных заведений на территорию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сферы образования с выделением финансирования сферы образования из республиканского и местного бюджетов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развитию образования в ОТР с демонстрацией благоприятных условий для заведений высшего профессионального образования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проводить оценку потенциала заведений высшего профессионального образования в ОТР на их соответствие требованиям, обозначенным в Программе формирования и развития ОТР в регионах Кыргызской Республики на 2025-2030 годы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подготовки квалифицированных кадров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ОТР на базе заведений среднего профессионального образования краткосрочные и среднесрочные курсы для подготовки специалистов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48,1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образовательные учреждения в перечень учреждений, которым муниципальное имущество будет предоставляться на льготных условиях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запуска проектов ГЧП в сфере специального среднего образования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252,9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198,6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567,9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-200,0</w:t>
            </w:r>
          </w:p>
        </w:tc>
      </w:tr>
      <w:tr>
        <w:tc>
          <w:tcPr>
            <w:tcW w:type="dxa" w:w="10175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Создание условий для вовлечения граждан в сферу культуры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вовлечения граждан в сферу культуры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не менее 2 раз в год обучающие семинары по повышению потенциала работников сферы культуры в части применения новых креативных методов в сфере культуры, в том числе проектов ГЧП в сфере культуры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повышения квалификации работников финансовой сферы темы по возможностям субсидирования сферы культуры из местного бюджета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сферы культуры ОТР с выделением финансирования для сферы культуры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сферы культуры на основе ГЧП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для ОТР учебную программу по внедрению проектов ГЧП в сфере культуры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консультативную помощь конкретным проектам ГЧП в сфере культуры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опыту реализации проектов ГЧП в ОТР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-300,0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280,6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-1060,0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-1060,0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7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3050,0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3050,0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2224,9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4250,8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6475,7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-3050,0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ресурсная стоимость программы - 9525,7 тыс. сомов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опорная точка роста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arfbt_ggsq_tevgz-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dalil.kg/document/230023351</w:t>
      </w:r>
    </w:hyperlink>
  </w:p>
  <w:p>
    <w:pPr>
      <w:spacing w:after="0" w:before="40"/>
      <w:jc w:val="center"/>
    </w:pPr>
    <w:hyperlink w:history="1" r:id="rIdhugpgtowr7s_4ovmwk9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w5vjfeyiwayrlvckftw" Type="http://schemas.openxmlformats.org/officeDocument/2006/relationships/hyperlink" Target="https://dalil.kg/document/230033323" TargetMode="External"/><Relationship Id="rIdnl3aks2vrroya0ncwysfi" Type="http://schemas.openxmlformats.org/officeDocument/2006/relationships/hyperlink" Target="https://dalil.kg/document/430700" TargetMode="External"/><Relationship Id="rIdnny_gp2h2qadcmxv5z-nj" Type="http://schemas.openxmlformats.org/officeDocument/2006/relationships/hyperlink" Target="https://dalil.kg/document/430699" TargetMode="External"/><Relationship Id="rIdjbjkwawfmusml31tyqg1c" Type="http://schemas.openxmlformats.org/officeDocument/2006/relationships/hyperlink" Target="https://dalil.kg/document/434830" TargetMode="External"/><Relationship Id="rIdp6dv8s96eqswvlgy4-q2y" Type="http://schemas.openxmlformats.org/officeDocument/2006/relationships/hyperlink" Target="https://dalil.kg/document/230000812" TargetMode="External"/><Relationship Id="rIdkwixbpegfu1fm-4fkwmh7" Type="http://schemas.openxmlformats.org/officeDocument/2006/relationships/hyperlink" Target="https://dalil.kg/document/112301#st_13" TargetMode="External"/><Relationship Id="rIdxsppimpcvdcadk3ziw0ul" Type="http://schemas.openxmlformats.org/officeDocument/2006/relationships/hyperlink" Target="https://dalil.kg/document/112301#st_17" TargetMode="External"/><Relationship Id="rId7kwqnjlnlbzhgjxbhb-77" Type="http://schemas.openxmlformats.org/officeDocument/2006/relationships/hyperlink" Target="https://dalil.kg/document/230023354" TargetMode="External"/><Relationship Id="rIdxzaeef0mbqol5jfgp58_m" Type="http://schemas.openxmlformats.org/officeDocument/2006/relationships/hyperlink" Target="https://dalil.kg/document/230023351#pr2" TargetMode="External"/><Relationship Id="rIdljq5z9k_ckjgkr-qfqeli" Type="http://schemas.openxmlformats.org/officeDocument/2006/relationships/hyperlink" Target="https://dalil.kg/document/230023351#pr3" TargetMode="External"/><Relationship Id="rIdemwtkdztl7rkjfhtyoavz" Type="http://schemas.openxmlformats.org/officeDocument/2006/relationships/hyperlink" Target="https://dalil.kg/document/230023351#pr4" TargetMode="External"/><Relationship Id="rIdttrj3v0cwnsnvkauqvbju" Type="http://schemas.openxmlformats.org/officeDocument/2006/relationships/hyperlink" Target="https://dalil.kg/document/230033323" TargetMode="External"/><Relationship Id="rIdv7qo7o--9qovqhsuwykwt" Type="http://schemas.openxmlformats.org/officeDocument/2006/relationships/hyperlink" Target="https://dalil.kg/document/230000206" TargetMode="External"/><Relationship Id="rIdtvnhsueppktud-jf7wmeb" Type="http://schemas.openxmlformats.org/officeDocument/2006/relationships/hyperlink" Target="https://dalil.kg/document/230000204" TargetMode="External"/><Relationship Id="rIdcnjfsndcrxzntajxx6g8r" Type="http://schemas.openxmlformats.org/officeDocument/2006/relationships/hyperlink" Target="https://dalil.kg/document/230000206" TargetMode="External"/><Relationship Id="rIdkrvdrtoj1_c-np7e1hm6x" Type="http://schemas.openxmlformats.org/officeDocument/2006/relationships/hyperlink" Target="https://dalil.kg/document/112419" TargetMode="External"/><Relationship Id="rIdav3ik9i2l2iushudcp3or" Type="http://schemas.openxmlformats.org/officeDocument/2006/relationships/hyperlink" Target="https://dalil.kg/document/111577" TargetMode="External"/><Relationship Id="rIdsmygpak5vj-hfk2tyvyuo" Type="http://schemas.openxmlformats.org/officeDocument/2006/relationships/hyperlink" Target="https://dalil.kg/document/230033323" TargetMode="External"/><Relationship Id="rId8oec6t7hecuhxevvspjok" Type="http://schemas.openxmlformats.org/officeDocument/2006/relationships/hyperlink" Target="https://dalil.kg/document/230000206" TargetMode="External"/><Relationship Id="rIdtrfv1oxinul4ferlyctme" Type="http://schemas.openxmlformats.org/officeDocument/2006/relationships/hyperlink" Target="https://dalil.kg/document/230000204" TargetMode="External"/><Relationship Id="rIdokrf4qsu65amfocjm1grm" Type="http://schemas.openxmlformats.org/officeDocument/2006/relationships/hyperlink" Target="https://dalil.kg/document/230000206" TargetMode="External"/><Relationship Id="rIdu8yxetnyf4j7jlcofx-z4" Type="http://schemas.openxmlformats.org/officeDocument/2006/relationships/hyperlink" Target="https://dalil.kg/document/11157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arfbt_ggsq_tevgz-xh" Type="http://schemas.openxmlformats.org/officeDocument/2006/relationships/hyperlink" Target="https://dalil.kg/document/230023351" TargetMode="External"/><Relationship Id="rIdhugpgtowr7s_4ovmwk9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2026-09-26T02:46:51.825Z</dcterms:created>
  <dcterms:modified xsi:type="dcterms:W3CDTF">2026-09-26T02:46:51.825Z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