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7 марта 2025 года № 51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Закон Кыргызской Республики "О нормативных правовых актах Кыргызской Республики"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Внести в </w:t>
      </w:r>
      <w:hyperlink w:history="1" r:id="rIdrwpnihwhhqjuu7bkimke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(Ведомости Жогорку Кенеша Кыргызской Республики, 2009 г., № 7, ст.751) следующие изменения: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части 1 </w:t>
      </w:r>
      <w:hyperlink w:history="1" r:id="rIdu3gbtjxkb1wqzdcgk5s2k">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после слов "имеющий высшую юридическую силу" дополнить словами ", прямое действие";</w:t>
      </w:r>
    </w:p>
    <w:p>
      <w:pPr>
        <w:spacing w:after="120"/>
        <w:ind w:firstLine="567"/>
        <w:jc w:val="both"/>
      </w:pPr>
      <w:r>
        <w:rPr>
          <w:rFonts w:ascii="Arial" w:cs="Arial" w:eastAsia="Arial" w:hAnsi="Arial"/>
          <w:sz w:val="24"/>
          <w:szCs w:val="24"/>
        </w:rPr>
        <w:t xml:space="preserve">б) абзац седьмой после слова "Конституцией," дополнить словом "законами,";</w:t>
      </w:r>
    </w:p>
    <w:p>
      <w:pPr>
        <w:spacing w:after="120"/>
        <w:ind w:firstLine="567"/>
        <w:jc w:val="both"/>
      </w:pPr>
      <w:r>
        <w:rPr>
          <w:rFonts w:ascii="Arial" w:cs="Arial" w:eastAsia="Arial" w:hAnsi="Arial"/>
          <w:sz w:val="24"/>
          <w:szCs w:val="24"/>
        </w:rPr>
        <w:t xml:space="preserve">в) абзац восьмой изложить в следующей редакции:</w:t>
      </w:r>
    </w:p>
    <w:p>
      <w:pPr>
        <w:spacing w:after="120"/>
        <w:ind w:firstLine="567"/>
        <w:jc w:val="both"/>
      </w:pPr>
      <w:r>
        <w:rPr>
          <w:rFonts w:ascii="Arial" w:cs="Arial" w:eastAsia="Arial" w:hAnsi="Arial"/>
          <w:sz w:val="24"/>
          <w:szCs w:val="24"/>
        </w:rPr>
        <w:t xml:space="preserve">"постановление Кабинета Министров Кыргызской Республики - нормативный правовой акт, принимаемый Кабинетом Министров Кыргызской Республики (далее - Кабинет Министров) на основе и во исполнение нормативных правовых актов, имеющих более высокую юридическую силу, соответствующий требованиям, указанным в настоящем Законе;";</w:t>
      </w:r>
    </w:p>
    <w:p>
      <w:pPr>
        <w:spacing w:after="120"/>
        <w:ind w:firstLine="567"/>
        <w:jc w:val="both"/>
      </w:pPr>
      <w:r>
        <w:rPr>
          <w:rFonts w:ascii="Arial" w:cs="Arial" w:eastAsia="Arial" w:hAnsi="Arial"/>
          <w:sz w:val="24"/>
          <w:szCs w:val="24"/>
        </w:rPr>
        <w:t xml:space="preserve">г) в абзаце одиннадцатом слова "и имеющие обязательную юридическую силу на соответствующей территории" заменить словами "имеющие обязательную юридическую силу на соответствующей территории и соответствующие требованиям, указанным в настоящем Законе";</w:t>
      </w:r>
    </w:p>
    <w:p>
      <w:pPr>
        <w:spacing w:after="120"/>
        <w:ind w:firstLine="567"/>
        <w:jc w:val="both"/>
      </w:pPr>
      <w:r>
        <w:rPr>
          <w:rFonts w:ascii="Arial" w:cs="Arial" w:eastAsia="Arial" w:hAnsi="Arial"/>
          <w:sz w:val="24"/>
          <w:szCs w:val="24"/>
        </w:rPr>
        <w:t xml:space="preserve">2) в </w:t>
      </w:r>
      <w:hyperlink w:history="1" r:id="rId2w8imyzitsejq2vlyemlq">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четвертый изложить в следующей редакции:</w:t>
      </w:r>
    </w:p>
    <w:p>
      <w:pPr>
        <w:spacing w:after="120"/>
        <w:ind w:firstLine="567"/>
        <w:jc w:val="both"/>
      </w:pPr>
      <w:r>
        <w:rPr>
          <w:rFonts w:ascii="Arial" w:cs="Arial" w:eastAsia="Arial" w:hAnsi="Arial"/>
          <w:sz w:val="24"/>
          <w:szCs w:val="24"/>
        </w:rPr>
        <w:t xml:space="preserve">"Кабинет Министров;";</w:t>
      </w:r>
    </w:p>
    <w:p>
      <w:pPr>
        <w:spacing w:after="120"/>
        <w:ind w:firstLine="567"/>
        <w:jc w:val="both"/>
      </w:pPr>
      <w:r>
        <w:rPr>
          <w:rFonts w:ascii="Arial" w:cs="Arial" w:eastAsia="Arial" w:hAnsi="Arial"/>
          <w:sz w:val="24"/>
          <w:szCs w:val="24"/>
        </w:rPr>
        <w:t xml:space="preserve">б) в абзаце шестом на официальном языке слово "избирательная" исключить;</w:t>
      </w:r>
    </w:p>
    <w:p>
      <w:pPr>
        <w:spacing w:after="120"/>
        <w:ind w:firstLine="567"/>
        <w:jc w:val="both"/>
      </w:pPr>
      <w:r>
        <w:rPr>
          <w:rFonts w:ascii="Arial" w:cs="Arial" w:eastAsia="Arial" w:hAnsi="Arial"/>
          <w:sz w:val="24"/>
          <w:szCs w:val="24"/>
        </w:rPr>
        <w:t xml:space="preserve">3) в </w:t>
      </w:r>
      <w:hyperlink w:history="1" r:id="rIdf0euq_jckqpykjwzwktte">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в абзаце восьмом слово "Правительства" заменить словами "Кабинета Министров";</w:t>
      </w:r>
    </w:p>
    <w:p>
      <w:pPr>
        <w:spacing w:after="120"/>
        <w:ind w:firstLine="567"/>
        <w:jc w:val="both"/>
      </w:pPr>
      <w:r>
        <w:rPr>
          <w:rFonts w:ascii="Arial" w:cs="Arial" w:eastAsia="Arial" w:hAnsi="Arial"/>
          <w:sz w:val="24"/>
          <w:szCs w:val="24"/>
        </w:rPr>
        <w:t xml:space="preserve">- абзац десятый изложить в следующей редакции:</w:t>
      </w:r>
    </w:p>
    <w:p>
      <w:pPr>
        <w:spacing w:after="120"/>
        <w:ind w:firstLine="567"/>
        <w:jc w:val="both"/>
      </w:pPr>
      <w:r>
        <w:rPr>
          <w:rFonts w:ascii="Arial" w:cs="Arial" w:eastAsia="Arial" w:hAnsi="Arial"/>
          <w:sz w:val="24"/>
          <w:szCs w:val="24"/>
        </w:rPr>
        <w:t xml:space="preserve">"нормативные правовые акты государственных органов и органов местного самоуправления, уполномоченных принимать (издавать) нормативные правовые акты, в соответствии с актами делегирования нормотворческих полномочий Кабинета Министров;";</w:t>
      </w:r>
    </w:p>
    <w:p>
      <w:pPr>
        <w:spacing w:after="120"/>
        <w:ind w:firstLine="567"/>
        <w:jc w:val="both"/>
      </w:pPr>
      <w:r>
        <w:rPr>
          <w:rFonts w:ascii="Arial" w:cs="Arial" w:eastAsia="Arial" w:hAnsi="Arial"/>
          <w:sz w:val="24"/>
          <w:szCs w:val="24"/>
        </w:rPr>
        <w:t xml:space="preserve">б) в части 3 слова ", за исключением случаев, предусмотренных частью 4 настоящей статьи" исключить;</w:t>
      </w:r>
    </w:p>
    <w:p>
      <w:pPr>
        <w:spacing w:after="120"/>
        <w:ind w:firstLine="567"/>
        <w:jc w:val="both"/>
      </w:pPr>
      <w:r>
        <w:rPr>
          <w:rFonts w:ascii="Arial" w:cs="Arial" w:eastAsia="Arial" w:hAnsi="Arial"/>
          <w:sz w:val="24"/>
          <w:szCs w:val="24"/>
        </w:rPr>
        <w:t xml:space="preserve">в) часть 4 признать утратившей силу;</w:t>
      </w:r>
    </w:p>
    <w:p>
      <w:pPr>
        <w:spacing w:after="120"/>
        <w:ind w:firstLine="567"/>
        <w:jc w:val="both"/>
      </w:pPr>
      <w:r>
        <w:rPr>
          <w:rFonts w:ascii="Arial" w:cs="Arial" w:eastAsia="Arial" w:hAnsi="Arial"/>
          <w:sz w:val="24"/>
          <w:szCs w:val="24"/>
        </w:rPr>
        <w:t xml:space="preserve">4) в части 2 </w:t>
      </w:r>
      <w:hyperlink w:history="1" r:id="rId5j5qwfjeuhtbtbmt5zgmz">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5) </w:t>
      </w:r>
      <w:hyperlink w:history="1" r:id="rIdsdun4gkgzo6la-6aw-xyg">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mnofhxb0fwbguwwllo3me">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 Особенности планирования законотворческой деятельности</w:t>
      </w:r>
    </w:p>
    <w:p>
      <w:pPr>
        <w:spacing w:after="120"/>
        <w:ind w:firstLine="567"/>
        <w:jc w:val="both"/>
      </w:pPr>
      <w:r>
        <w:rPr>
          <w:rFonts w:ascii="Arial" w:cs="Arial" w:eastAsia="Arial" w:hAnsi="Arial"/>
          <w:sz w:val="24"/>
          <w:szCs w:val="24"/>
        </w:rPr>
        <w:t xml:space="preserve">1. Кабинет Министров ежегодно разрабатывает и утверждает план законопроектных работ.</w:t>
      </w:r>
    </w:p>
    <w:p>
      <w:pPr>
        <w:spacing w:after="120"/>
        <w:ind w:firstLine="567"/>
        <w:jc w:val="both"/>
      </w:pPr>
      <w:r>
        <w:rPr>
          <w:rFonts w:ascii="Arial" w:cs="Arial" w:eastAsia="Arial" w:hAnsi="Arial"/>
          <w:sz w:val="24"/>
          <w:szCs w:val="24"/>
        </w:rPr>
        <w:t xml:space="preserve">2. При разработке проектов планов законопроектных работ учитываются общегосударственные и национальные программы, стратегии, концепции, утверждаемые Президентом и Кабинетом Министров, обращения и заявления Президента, предложения депутатов Жогорку Кенеша, государственных органов, Народного Курултая, научных учреждений, представителей гражданского общества, а также результаты мониторинга и оценки действующего законодательства.</w:t>
      </w:r>
    </w:p>
    <w:p>
      <w:pPr>
        <w:spacing w:after="120"/>
        <w:ind w:firstLine="567"/>
        <w:jc w:val="both"/>
      </w:pPr>
      <w:r>
        <w:rPr>
          <w:rFonts w:ascii="Arial" w:cs="Arial" w:eastAsia="Arial" w:hAnsi="Arial"/>
          <w:sz w:val="24"/>
          <w:szCs w:val="24"/>
        </w:rPr>
        <w:t xml:space="preserve">3. Нормативные правовые акты могут быть подготовлены вне плана законопроектных работ.";</w:t>
      </w:r>
    </w:p>
    <w:p>
      <w:pPr>
        <w:spacing w:after="120"/>
        <w:ind w:firstLine="567"/>
        <w:jc w:val="both"/>
      </w:pPr>
      <w:r>
        <w:rPr>
          <w:rFonts w:ascii="Arial" w:cs="Arial" w:eastAsia="Arial" w:hAnsi="Arial"/>
          <w:sz w:val="24"/>
          <w:szCs w:val="24"/>
        </w:rPr>
        <w:t xml:space="preserve">6) часть 1 </w:t>
      </w:r>
      <w:hyperlink w:history="1" r:id="rIdpy7-6twofcirnmif4lzzp">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Проекты нормативных правовых актов, направленные на регулирование предпринимательской деятельности, за исключением случаев, указанных в абзаце втором настоящей части, подлежат анализу регулятивного воздействия в соответствии с методикой, утвержденной Кабинетом Министров.</w:t>
      </w:r>
    </w:p>
    <w:p>
      <w:pPr>
        <w:spacing w:after="120"/>
        <w:ind w:firstLine="567"/>
        <w:jc w:val="both"/>
      </w:pPr>
      <w:r>
        <w:rPr>
          <w:rFonts w:ascii="Arial" w:cs="Arial" w:eastAsia="Arial" w:hAnsi="Arial"/>
          <w:sz w:val="24"/>
          <w:szCs w:val="24"/>
        </w:rPr>
        <w:t xml:space="preserve">Анализ регулятивного воздействия не проводится в случаях:</w:t>
      </w:r>
    </w:p>
    <w:p>
      <w:pPr>
        <w:spacing w:after="120"/>
        <w:ind w:firstLine="567"/>
        <w:jc w:val="both"/>
      </w:pPr>
      <w:r>
        <w:rPr>
          <w:rFonts w:ascii="Arial" w:cs="Arial" w:eastAsia="Arial" w:hAnsi="Arial"/>
          <w:sz w:val="24"/>
          <w:szCs w:val="24"/>
        </w:rPr>
        <w:t xml:space="preserve">регулирования предпринимательской деятельности в условиях обстоятельств непреодолимой силы;</w:t>
      </w:r>
    </w:p>
    <w:p>
      <w:pPr>
        <w:spacing w:after="120"/>
        <w:ind w:firstLine="567"/>
        <w:jc w:val="both"/>
      </w:pPr>
      <w:r>
        <w:rPr>
          <w:rFonts w:ascii="Arial" w:cs="Arial" w:eastAsia="Arial" w:hAnsi="Arial"/>
          <w:sz w:val="24"/>
          <w:szCs w:val="24"/>
        </w:rPr>
        <w:t xml:space="preserve">при подготовке временных нормативных правовых актов сроком действия менее одного года, направленных на достижение и поддержание стабильности цен, реализацию денежно-кредитной политики, обеспечение эффективности, безопасности и надежности банковской и платежной систем.";</w:t>
      </w:r>
    </w:p>
    <w:p>
      <w:pPr>
        <w:spacing w:after="120"/>
        <w:ind w:firstLine="567"/>
        <w:jc w:val="both"/>
      </w:pPr>
      <w:r>
        <w:rPr>
          <w:rFonts w:ascii="Arial" w:cs="Arial" w:eastAsia="Arial" w:hAnsi="Arial"/>
          <w:sz w:val="24"/>
          <w:szCs w:val="24"/>
        </w:rPr>
        <w:t xml:space="preserve">7) в части 5 </w:t>
      </w:r>
      <w:hyperlink w:history="1" r:id="rIdfylhexsstrudijrpaoc4q">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8) в </w:t>
      </w:r>
      <w:hyperlink w:history="1" r:id="rId3yd80fsbt69aifsitawm6">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 слово "Правительству" заменить словами "Кабинету Министров";</w:t>
      </w:r>
    </w:p>
    <w:p>
      <w:pPr>
        <w:spacing w:after="120"/>
        <w:ind w:firstLine="567"/>
        <w:jc w:val="both"/>
      </w:pPr>
      <w:r>
        <w:rPr>
          <w:rFonts w:ascii="Arial" w:cs="Arial" w:eastAsia="Arial" w:hAnsi="Arial"/>
          <w:sz w:val="24"/>
          <w:szCs w:val="24"/>
        </w:rPr>
        <w:t xml:space="preserve">9) статьи </w:t>
      </w:r>
      <w:hyperlink w:history="1" r:id="rIdc_-wg7vvhu9umjcdwzlnc">
        <w:r>
          <w:rPr>
            <w:rFonts w:ascii="Arial" w:cs="Arial" w:eastAsia="Arial" w:hAnsi="Arial"/>
            <w:color w:val="1D4ED8"/>
            <w:sz w:val="24"/>
            <w:szCs w:val="24"/>
            <w:u w:val="single"/>
          </w:rPr>
          <w:t xml:space="preserve">22</w:t>
        </w:r>
      </w:hyperlink>
      <w:r>
        <w:rPr>
          <w:rFonts w:ascii="Arial" w:cs="Arial" w:eastAsia="Arial" w:hAnsi="Arial"/>
          <w:sz w:val="24"/>
          <w:szCs w:val="24"/>
        </w:rPr>
        <w:t xml:space="preserve"> и </w:t>
      </w:r>
      <w:hyperlink w:history="1" r:id="rIdihebnzr7ke88mdjrb8acn">
        <w:r>
          <w:rPr>
            <w:rFonts w:ascii="Arial" w:cs="Arial" w:eastAsia="Arial" w:hAnsi="Arial"/>
            <w:color w:val="1D4ED8"/>
            <w:sz w:val="24"/>
            <w:szCs w:val="24"/>
            <w:u w:val="single"/>
          </w:rPr>
          <w:t xml:space="preserve">23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htxc2y0r9lqxoqsj7asnd">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Организация общественного обсуждения</w:t>
      </w:r>
    </w:p>
    <w:p>
      <w:pPr>
        <w:spacing w:after="120"/>
        <w:ind w:firstLine="567"/>
        <w:jc w:val="both"/>
      </w:pPr>
      <w:r>
        <w:rPr>
          <w:rFonts w:ascii="Arial" w:cs="Arial" w:eastAsia="Arial" w:hAnsi="Arial"/>
          <w:sz w:val="24"/>
          <w:szCs w:val="24"/>
        </w:rPr>
        <w:t xml:space="preserve">1. Проекты нормативных правовых актов, непосредственно затрагивающие права, свободы, обязанности граждан и юридических лиц, вводящие новое регулирование общественных отношений, а также проекты нормативных правовых актов, регулирующие предпринимательскую деятельность, подлежат общественному обсуждению.</w:t>
      </w:r>
    </w:p>
    <w:p>
      <w:pPr>
        <w:spacing w:after="120"/>
        <w:ind w:firstLine="567"/>
        <w:jc w:val="both"/>
      </w:pPr>
      <w:r>
        <w:rPr>
          <w:rFonts w:ascii="Arial" w:cs="Arial" w:eastAsia="Arial" w:hAnsi="Arial"/>
          <w:sz w:val="24"/>
          <w:szCs w:val="24"/>
        </w:rPr>
        <w:t xml:space="preserve">Общественное обсуждение проводится посредством размещения проекта, справки-обоснования и сравнительной таблицы (в случае внесения изменений в нормативный правовой акт или новой редакции) к нему на Едином портале общественного обсуждения проектов нормативных правовых актов (далее - Единый портал).</w:t>
      </w:r>
    </w:p>
    <w:p>
      <w:pPr>
        <w:spacing w:after="120"/>
        <w:ind w:firstLine="567"/>
        <w:jc w:val="both"/>
      </w:pPr>
      <w:r>
        <w:rPr>
          <w:rFonts w:ascii="Arial" w:cs="Arial" w:eastAsia="Arial" w:hAnsi="Arial"/>
          <w:sz w:val="24"/>
          <w:szCs w:val="24"/>
        </w:rPr>
        <w:t xml:space="preserve">Проекты нормативных правовых актов, инициируемые депутатами Жогорку Кенеша, подлежат общественному обсуждению посредством размещения на сайте Жогорку Кенеша. Проекты нормативных правовых актов, инициируемые депутатами Жогорку Кенеша, дополнительно могут размещаться для общественного обсуждения на Едином портале.</w:t>
      </w:r>
    </w:p>
    <w:p>
      <w:pPr>
        <w:spacing w:after="120"/>
        <w:ind w:firstLine="567"/>
        <w:jc w:val="both"/>
      </w:pPr>
      <w:r>
        <w:rPr>
          <w:rFonts w:ascii="Arial" w:cs="Arial" w:eastAsia="Arial" w:hAnsi="Arial"/>
          <w:sz w:val="24"/>
          <w:szCs w:val="24"/>
        </w:rPr>
        <w:t xml:space="preserve">По решению представительного органа местного самоуправления проекты нормативных правовых актов представительных органов местного самоуправления могут размещаться для общественного обсуждения в специальных местах обозрения и источниках, определяемых представительным органом местного самоуправления.</w:t>
      </w:r>
    </w:p>
    <w:p>
      <w:pPr>
        <w:spacing w:after="120"/>
        <w:ind w:firstLine="567"/>
        <w:jc w:val="both"/>
      </w:pPr>
      <w:r>
        <w:rPr>
          <w:rFonts w:ascii="Arial" w:cs="Arial" w:eastAsia="Arial" w:hAnsi="Arial"/>
          <w:sz w:val="24"/>
          <w:szCs w:val="24"/>
        </w:rPr>
        <w:t xml:space="preserve">Поступившие замечания и предложения подлежат обязательному рассмотрению субъектом, разместившим проект нормативного правового акта для общественного обсуждения. Итоговая информация о поступивших замечаниях и предложениях с обоснованием причин включения либо невключения их в проект нормативного правового акта отражается в справке-обосновании к проекту нормативного правового акта.</w:t>
      </w:r>
    </w:p>
    <w:p>
      <w:pPr>
        <w:spacing w:after="120"/>
        <w:ind w:firstLine="567"/>
        <w:jc w:val="both"/>
      </w:pPr>
      <w:r>
        <w:rPr>
          <w:rFonts w:ascii="Arial" w:cs="Arial" w:eastAsia="Arial" w:hAnsi="Arial"/>
          <w:sz w:val="24"/>
          <w:szCs w:val="24"/>
        </w:rPr>
        <w:t xml:space="preserve">Порядок размещения и прохождения процедуры общественного обсуждения проектов нормативных правовых актов на Едином портале определяется Кабинетом Министров.</w:t>
      </w:r>
    </w:p>
    <w:p>
      <w:pPr>
        <w:spacing w:after="120"/>
        <w:ind w:firstLine="567"/>
        <w:jc w:val="both"/>
      </w:pPr>
      <w:r>
        <w:rPr>
          <w:rFonts w:ascii="Arial" w:cs="Arial" w:eastAsia="Arial" w:hAnsi="Arial"/>
          <w:sz w:val="24"/>
          <w:szCs w:val="24"/>
        </w:rPr>
        <w:t xml:space="preserve">2. Требования части 1 настоящей статьи не распространяются на проекты нормативных правовых актов:</w:t>
      </w:r>
    </w:p>
    <w:p>
      <w:pPr>
        <w:spacing w:after="120"/>
        <w:ind w:firstLine="567"/>
        <w:jc w:val="both"/>
      </w:pPr>
      <w:r>
        <w:rPr>
          <w:rFonts w:ascii="Arial" w:cs="Arial" w:eastAsia="Arial" w:hAnsi="Arial"/>
          <w:sz w:val="24"/>
          <w:szCs w:val="24"/>
        </w:rPr>
        <w:t xml:space="preserve">вытекающие из решения Конституционного суда;</w:t>
      </w:r>
    </w:p>
    <w:p>
      <w:pPr>
        <w:spacing w:after="120"/>
        <w:ind w:firstLine="567"/>
        <w:jc w:val="both"/>
      </w:pPr>
      <w:r>
        <w:rPr>
          <w:rFonts w:ascii="Arial" w:cs="Arial" w:eastAsia="Arial" w:hAnsi="Arial"/>
          <w:sz w:val="24"/>
          <w:szCs w:val="24"/>
        </w:rPr>
        <w:t xml:space="preserve">предусматривающие внесение изменений редакционно-технического характера;</w:t>
      </w:r>
    </w:p>
    <w:p>
      <w:pPr>
        <w:spacing w:after="120"/>
        <w:ind w:firstLine="567"/>
        <w:jc w:val="both"/>
      </w:pPr>
      <w:r>
        <w:rPr>
          <w:rFonts w:ascii="Arial" w:cs="Arial" w:eastAsia="Arial" w:hAnsi="Arial"/>
          <w:sz w:val="24"/>
          <w:szCs w:val="24"/>
        </w:rPr>
        <w:t xml:space="preserve">регулирующие общественные отношения в области обеспечения обороны и национальной безопасности, защиты государственных секретов, военно-технического сотрудничества;</w:t>
      </w:r>
    </w:p>
    <w:p>
      <w:pPr>
        <w:spacing w:after="120"/>
        <w:ind w:firstLine="567"/>
        <w:jc w:val="both"/>
      </w:pPr>
      <w:r>
        <w:rPr>
          <w:rFonts w:ascii="Arial" w:cs="Arial" w:eastAsia="Arial" w:hAnsi="Arial"/>
          <w:sz w:val="24"/>
          <w:szCs w:val="24"/>
        </w:rPr>
        <w:t xml:space="preserve">имеющие временный характер, со сроком действия менее одного года, направленные на достижение и поддержание стабильности цен, реализацию денежно-кредитной политики, обеспечение эффективности, безопасности и надежности банковской и платежной систем;</w:t>
      </w:r>
    </w:p>
    <w:p>
      <w:pPr>
        <w:spacing w:after="120"/>
        <w:ind w:firstLine="567"/>
        <w:jc w:val="both"/>
      </w:pPr>
      <w:r>
        <w:rPr>
          <w:rFonts w:ascii="Arial" w:cs="Arial" w:eastAsia="Arial" w:hAnsi="Arial"/>
          <w:sz w:val="24"/>
          <w:szCs w:val="24"/>
        </w:rPr>
        <w:t xml:space="preserve">определенные Президентом Кыргызской Республики и Председателем Кабинета Министров Кыргызской Республики как неотложные, вносимые в Жогорку Кенеш Кыргызской Республики по инициативе Президента Кыргызской Республики и Председателя Кабинета Министров Кыргызской Республики для рассмотрения их во внеочередном порядке;</w:t>
      </w:r>
    </w:p>
    <w:p>
      <w:pPr>
        <w:spacing w:after="120"/>
        <w:ind w:firstLine="567"/>
        <w:jc w:val="both"/>
      </w:pPr>
      <w:r>
        <w:rPr>
          <w:rFonts w:ascii="Arial" w:cs="Arial" w:eastAsia="Arial" w:hAnsi="Arial"/>
          <w:sz w:val="24"/>
          <w:szCs w:val="24"/>
        </w:rPr>
        <w:t xml:space="preserve">направленные на регулирование прав граждан и юридических лиц в условиях обстоятельств непреодолимой силы.</w:t>
      </w:r>
    </w:p>
    <w:p>
      <w:pPr>
        <w:spacing w:after="120"/>
        <w:ind w:firstLine="567"/>
        <w:jc w:val="both"/>
      </w:pPr>
      <w:r>
        <w:rPr>
          <w:rFonts w:ascii="Arial" w:cs="Arial" w:eastAsia="Arial" w:hAnsi="Arial"/>
          <w:sz w:val="24"/>
          <w:szCs w:val="24"/>
        </w:rPr>
        <w:t xml:space="preserve">3. Финансирование затрат по организации и проведению общественного обсуждения осуществляется за счет средств субъекта, осуществляющего подготовку проекта нормативного правового акта, и других источников, не запрещенных законодательством Кыргызской Республики.</w:t>
      </w:r>
    </w:p>
    <w:p>
      <w:pPr>
        <w:spacing w:after="120"/>
        <w:ind w:firstLine="567"/>
        <w:jc w:val="both"/>
      </w:pPr>
      <w:hyperlink w:history="1" r:id="rIdgtzhxk4tqvk2ynybusbwn">
        <w:r>
          <w:rPr>
            <w:rFonts w:ascii="Arial" w:cs="Arial" w:eastAsia="Arial" w:hAnsi="Arial"/>
            <w:color w:val="1D4ED8"/>
            <w:sz w:val="24"/>
            <w:szCs w:val="24"/>
            <w:u w:val="single"/>
          </w:rPr>
          <w:t xml:space="preserve">Статья 23</w:t>
        </w:r>
      </w:hyperlink>
      <w:r>
        <w:rPr>
          <w:rFonts w:ascii="Arial" w:cs="Arial" w:eastAsia="Arial" w:hAnsi="Arial"/>
          <w:sz w:val="24"/>
          <w:szCs w:val="24"/>
        </w:rPr>
        <w:t xml:space="preserve">. Срок общественного обсуждения</w:t>
      </w:r>
    </w:p>
    <w:p>
      <w:pPr>
        <w:spacing w:after="120"/>
        <w:ind w:firstLine="567"/>
        <w:jc w:val="both"/>
      </w:pPr>
      <w:r>
        <w:rPr>
          <w:rFonts w:ascii="Arial" w:cs="Arial" w:eastAsia="Arial" w:hAnsi="Arial"/>
          <w:sz w:val="24"/>
          <w:szCs w:val="24"/>
        </w:rPr>
        <w:t xml:space="preserve">1. Срок общественного обсуждения проектов нормативных правовых актов составляет не менее пятнадцати календарных дней.</w:t>
      </w:r>
    </w:p>
    <w:p>
      <w:pPr>
        <w:spacing w:after="120"/>
        <w:ind w:firstLine="567"/>
        <w:jc w:val="both"/>
      </w:pPr>
      <w:r>
        <w:rPr>
          <w:rFonts w:ascii="Arial" w:cs="Arial" w:eastAsia="Arial" w:hAnsi="Arial"/>
          <w:sz w:val="24"/>
          <w:szCs w:val="24"/>
        </w:rPr>
        <w:t xml:space="preserve">2. В случае организации дополнительных мероприятий, направленных на повышение эффективности общественного обсуждения, срок общественного обсуждения может быть сокращен до десяти календарных дней.</w:t>
      </w:r>
    </w:p>
    <w:p>
      <w:pPr>
        <w:spacing w:after="120"/>
        <w:ind w:firstLine="567"/>
        <w:jc w:val="both"/>
      </w:pPr>
      <w:r>
        <w:rPr>
          <w:rFonts w:ascii="Arial" w:cs="Arial" w:eastAsia="Arial" w:hAnsi="Arial"/>
          <w:sz w:val="24"/>
          <w:szCs w:val="24"/>
        </w:rPr>
        <w:t xml:space="preserve">3. Исчисление срока общественного обсуждения начинается со дня, следующего за днем обнародования проекта нормативного правового акта.";</w:t>
      </w:r>
    </w:p>
    <w:p>
      <w:pPr>
        <w:spacing w:after="120"/>
        <w:ind w:firstLine="567"/>
        <w:jc w:val="both"/>
      </w:pPr>
      <w:r>
        <w:rPr>
          <w:rFonts w:ascii="Arial" w:cs="Arial" w:eastAsia="Arial" w:hAnsi="Arial"/>
          <w:sz w:val="24"/>
          <w:szCs w:val="24"/>
        </w:rPr>
        <w:t xml:space="preserve">10) </w:t>
      </w:r>
      <w:hyperlink w:history="1" r:id="rId5rcvkbm2pm-tmdfo9s5ke">
        <w:r>
          <w:rPr>
            <w:rFonts w:ascii="Arial" w:cs="Arial" w:eastAsia="Arial" w:hAnsi="Arial"/>
            <w:color w:val="1D4ED8"/>
            <w:sz w:val="24"/>
            <w:szCs w:val="24"/>
            <w:u w:val="single"/>
          </w:rPr>
          <w:t xml:space="preserve">статью 25</w:t>
        </w:r>
      </w:hyperlink>
      <w:r>
        <w:rPr>
          <w:rFonts w:ascii="Arial" w:cs="Arial" w:eastAsia="Arial" w:hAnsi="Arial"/>
          <w:sz w:val="24"/>
          <w:szCs w:val="24"/>
        </w:rPr>
        <w:t xml:space="preserve"> дополнить абзацем следующего содержания:</w:t>
      </w:r>
    </w:p>
    <w:p>
      <w:pPr>
        <w:spacing w:after="120"/>
        <w:ind w:firstLine="567"/>
        <w:jc w:val="both"/>
      </w:pPr>
      <w:r>
        <w:rPr>
          <w:rFonts w:ascii="Arial" w:cs="Arial" w:eastAsia="Arial" w:hAnsi="Arial"/>
          <w:sz w:val="24"/>
          <w:szCs w:val="24"/>
        </w:rPr>
        <w:t xml:space="preserve">"информация о результатах анализа регулятивного воздействия в случае, когда он должен быть проведен.";</w:t>
      </w:r>
    </w:p>
    <w:p>
      <w:pPr>
        <w:spacing w:after="120"/>
        <w:ind w:firstLine="567"/>
        <w:jc w:val="both"/>
      </w:pPr>
      <w:r>
        <w:rPr>
          <w:rFonts w:ascii="Arial" w:cs="Arial" w:eastAsia="Arial" w:hAnsi="Arial"/>
          <w:sz w:val="24"/>
          <w:szCs w:val="24"/>
        </w:rPr>
        <w:t xml:space="preserve">11) в части 2 </w:t>
      </w:r>
      <w:hyperlink w:history="1" r:id="rIdkw4mljnodffh9hiheqm-d">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изложить в следующей редакции:</w:t>
      </w:r>
    </w:p>
    <w:p>
      <w:pPr>
        <w:spacing w:after="120"/>
        <w:ind w:firstLine="567"/>
        <w:jc w:val="both"/>
      </w:pPr>
      <w:r>
        <w:rPr>
          <w:rFonts w:ascii="Arial" w:cs="Arial" w:eastAsia="Arial" w:hAnsi="Arial"/>
          <w:sz w:val="24"/>
          <w:szCs w:val="24"/>
        </w:rPr>
        <w:t xml:space="preserve">"в отношении конституционных законов, кодексов, законов, указов Президента, постановлений Кабинета Министров - Администрация Президента;";</w:t>
      </w:r>
    </w:p>
    <w:p>
      <w:pPr>
        <w:spacing w:after="120"/>
        <w:ind w:firstLine="567"/>
        <w:jc w:val="both"/>
      </w:pPr>
      <w:r>
        <w:rPr>
          <w:rFonts w:ascii="Arial" w:cs="Arial" w:eastAsia="Arial" w:hAnsi="Arial"/>
          <w:sz w:val="24"/>
          <w:szCs w:val="24"/>
        </w:rPr>
        <w:t xml:space="preserve">б) абзац четвертый признать утратившим силу;</w:t>
      </w:r>
    </w:p>
    <w:p>
      <w:pPr>
        <w:spacing w:after="120"/>
        <w:ind w:firstLine="567"/>
        <w:jc w:val="both"/>
      </w:pPr>
      <w:r>
        <w:rPr>
          <w:rFonts w:ascii="Arial" w:cs="Arial" w:eastAsia="Arial" w:hAnsi="Arial"/>
          <w:sz w:val="24"/>
          <w:szCs w:val="24"/>
        </w:rPr>
        <w:t xml:space="preserve">в) дополнить абзацем следующего содержания:</w:t>
      </w:r>
    </w:p>
    <w:p>
      <w:pPr>
        <w:spacing w:after="120"/>
        <w:ind w:firstLine="567"/>
        <w:jc w:val="both"/>
      </w:pPr>
      <w:r>
        <w:rPr>
          <w:rFonts w:ascii="Arial" w:cs="Arial" w:eastAsia="Arial" w:hAnsi="Arial"/>
          <w:sz w:val="24"/>
          <w:szCs w:val="24"/>
        </w:rPr>
        <w:t xml:space="preserve">"в отношении нормативных правовых актов, принятых в рамках делегированных нормотворческих полномочий - государственные органы и органы местного самоуправления, которым делегированы нормотворческие полномочия.";</w:t>
      </w:r>
    </w:p>
    <w:p>
      <w:pPr>
        <w:spacing w:after="120"/>
        <w:ind w:firstLine="567"/>
        <w:jc w:val="both"/>
      </w:pPr>
      <w:r>
        <w:rPr>
          <w:rFonts w:ascii="Arial" w:cs="Arial" w:eastAsia="Arial" w:hAnsi="Arial"/>
          <w:sz w:val="24"/>
          <w:szCs w:val="24"/>
        </w:rPr>
        <w:t xml:space="preserve">12) в части 4 </w:t>
      </w:r>
      <w:hyperlink w:history="1" r:id="rIdcxjn7cmkjwmatvabp0yai">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13) в части 2 </w:t>
      </w:r>
      <w:hyperlink w:history="1" r:id="rId4mgiw73nlvx1bjcqvrmvf">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14) предложение второе части 3 </w:t>
      </w:r>
      <w:hyperlink w:history="1" r:id="rIdg9u1noth9z-datoarertf">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исключить;</w:t>
      </w:r>
    </w:p>
    <w:p>
      <w:pPr>
        <w:spacing w:after="120"/>
        <w:ind w:firstLine="567"/>
        <w:jc w:val="both"/>
      </w:pPr>
      <w:r>
        <w:rPr>
          <w:rFonts w:ascii="Arial" w:cs="Arial" w:eastAsia="Arial" w:hAnsi="Arial"/>
          <w:sz w:val="24"/>
          <w:szCs w:val="24"/>
        </w:rPr>
        <w:t xml:space="preserve">15) дополнить </w:t>
      </w:r>
      <w:hyperlink w:history="1" r:id="rIdk0ghwktuqayl8las2dvk2">
        <w:r>
          <w:rPr>
            <w:rFonts w:ascii="Arial" w:cs="Arial" w:eastAsia="Arial" w:hAnsi="Arial"/>
            <w:color w:val="1D4ED8"/>
            <w:sz w:val="24"/>
            <w:szCs w:val="24"/>
            <w:u w:val="single"/>
          </w:rPr>
          <w:t xml:space="preserve">статьей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zvgbkuwvm9gjoqwc_k1g2">
        <w:r>
          <w:rPr>
            <w:rFonts w:ascii="Arial" w:cs="Arial" w:eastAsia="Arial" w:hAnsi="Arial"/>
            <w:color w:val="1D4ED8"/>
            <w:sz w:val="24"/>
            <w:szCs w:val="24"/>
            <w:u w:val="single"/>
          </w:rPr>
          <w:t xml:space="preserve">Статья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Временное правовое регулирование новых общественных отношений</w:t>
      </w:r>
    </w:p>
    <w:p>
      <w:pPr>
        <w:spacing w:after="120"/>
        <w:ind w:firstLine="567"/>
        <w:jc w:val="both"/>
      </w:pPr>
      <w:r>
        <w:rPr>
          <w:rFonts w:ascii="Arial" w:cs="Arial" w:eastAsia="Arial" w:hAnsi="Arial"/>
          <w:sz w:val="24"/>
          <w:szCs w:val="24"/>
        </w:rPr>
        <w:t xml:space="preserve">1. В целях апробирования функционирования новых общественных отношений Президент вправе ввести временное регулирование общественных отношений сроком до одного года.</w:t>
      </w:r>
    </w:p>
    <w:p>
      <w:pPr>
        <w:spacing w:after="120"/>
        <w:ind w:firstLine="567"/>
        <w:jc w:val="both"/>
      </w:pPr>
      <w:r>
        <w:rPr>
          <w:rFonts w:ascii="Arial" w:cs="Arial" w:eastAsia="Arial" w:hAnsi="Arial"/>
          <w:sz w:val="24"/>
          <w:szCs w:val="24"/>
        </w:rPr>
        <w:t xml:space="preserve">2. При положительной реализации временного правового регулирования нормотворческими субъектами могут быть приняты соответствующие нормативные правовые акты. Порядок подготовки и продвижения проектов нормативных правовых актов осуществляется в соответствии с настоящим Законом.";</w:t>
      </w:r>
    </w:p>
    <w:p>
      <w:pPr>
        <w:spacing w:after="120"/>
        <w:ind w:firstLine="567"/>
        <w:jc w:val="both"/>
      </w:pPr>
      <w:r>
        <w:rPr>
          <w:rFonts w:ascii="Arial" w:cs="Arial" w:eastAsia="Arial" w:hAnsi="Arial"/>
          <w:sz w:val="24"/>
          <w:szCs w:val="24"/>
        </w:rPr>
        <w:t xml:space="preserve">16) в части 4 </w:t>
      </w:r>
      <w:hyperlink w:history="1" r:id="rIdojmnjz7el-5z7iatvz0j4">
        <w:r>
          <w:rPr>
            <w:rFonts w:ascii="Arial" w:cs="Arial" w:eastAsia="Arial" w:hAnsi="Arial"/>
            <w:color w:val="1D4ED8"/>
            <w:sz w:val="24"/>
            <w:szCs w:val="24"/>
            <w:u w:val="single"/>
          </w:rPr>
          <w:t xml:space="preserve">статьи 33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слово "Правительством" заменить словами "нормотворческим органом (должностным лицом), принявшим (издавшим) нормативный правовой акт".</w:t>
      </w:r>
    </w:p>
    <w:p>
      <w:pPr>
        <w:spacing w:after="12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11 марта 2025 года № 18 (3674)</w:t>
      </w:r>
    </w:p>
    <w:p>
      <w:pPr>
        <w:spacing w:after="120"/>
        <w:ind w:firstLine="567"/>
        <w:jc w:val="both"/>
      </w:pPr>
      <w:r>
        <w:rPr>
          <w:rFonts w:ascii="Arial" w:cs="Arial" w:eastAsia="Arial" w:hAnsi="Arial"/>
          <w:sz w:val="24"/>
          <w:szCs w:val="24"/>
        </w:rPr>
        <w:t xml:space="preserve">2. Кабинету Министров Кыргызской Республики в трехмесячный срок привести свои решения в соответствие с настоящим Законом и принять необходимые меры, вытекающие из настоящего Закона.</w:t>
      </w:r>
    </w:p>
    <w:p>
      <w:pPr>
        <w:spacing w:after="120"/>
        <w:ind w:firstLine="567"/>
        <w:jc w:val="both"/>
      </w:pPr>
      <w:r>
        <w:rPr>
          <w:rFonts w:ascii="Arial" w:cs="Arial" w:eastAsia="Arial" w:hAnsi="Arial"/>
          <w:sz w:val="24"/>
          <w:szCs w:val="24"/>
        </w:rPr>
        <w:t xml:space="preserve">3. Рекомендовать иным государственным органам и органам местного самоуправления не позднее трехмесячного срока привести свои решения в соответствие с настоящим Законом и принять необходимые меры, вытекающие из настоящего Закона.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6 февраля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zrym6nmakjmm7ijzec-0">
      <w:r>
        <w:rPr>
          <w:rFonts w:ascii="Arial" w:cs="Arial" w:eastAsia="Arial" w:hAnsi="Arial"/>
          <w:color w:val="132D3F"/>
          <w:sz w:val="16"/>
          <w:szCs w:val="16"/>
          <w:u w:val="single"/>
        </w:rPr>
        <w:t xml:space="preserve">dalil.kg/document/230023496</w:t>
      </w:r>
    </w:hyperlink>
  </w:p>
  <w:p>
    <w:pPr>
      <w:spacing w:after="0" w:before="40"/>
      <w:jc w:val="center"/>
    </w:pPr>
    <w:hyperlink w:history="1" r:id="rIdzx-u_67a7tlxzo51wpm1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wpnihwhhqjuu7bkimkey" Type="http://schemas.openxmlformats.org/officeDocument/2006/relationships/hyperlink" Target="https://dalil.kg/document/202591" TargetMode="External"/><Relationship Id="rIdu3gbtjxkb1wqzdcgk5s2k" Type="http://schemas.openxmlformats.org/officeDocument/2006/relationships/hyperlink" Target="https://dalil.kg/document/202591#st_4" TargetMode="External"/><Relationship Id="rId2w8imyzitsejq2vlyemlq" Type="http://schemas.openxmlformats.org/officeDocument/2006/relationships/hyperlink" Target="https://dalil.kg/document/202591#st_5" TargetMode="External"/><Relationship Id="rIdf0euq_jckqpykjwzwktte" Type="http://schemas.openxmlformats.org/officeDocument/2006/relationships/hyperlink" Target="https://dalil.kg/document/202591#st_6" TargetMode="External"/><Relationship Id="rId5j5qwfjeuhtbtbmt5zgmz" Type="http://schemas.openxmlformats.org/officeDocument/2006/relationships/hyperlink" Target="https://dalil.kg/document/202591#st_10" TargetMode="External"/><Relationship Id="rIdsdun4gkgzo6la-6aw-xyg" Type="http://schemas.openxmlformats.org/officeDocument/2006/relationships/hyperlink" Target="https://dalil.kg/document/202591#st_18" TargetMode="External"/><Relationship Id="rIdmnofhxb0fwbguwwllo3me" Type="http://schemas.openxmlformats.org/officeDocument/2006/relationships/hyperlink" Target="https://dalil.kg/document/202591#st_18" TargetMode="External"/><Relationship Id="rIdpy7-6twofcirnmif4lzzp" Type="http://schemas.openxmlformats.org/officeDocument/2006/relationships/hyperlink" Target="https://dalil.kg/document/202591#st_19" TargetMode="External"/><Relationship Id="rIdfylhexsstrudijrpaoc4q" Type="http://schemas.openxmlformats.org/officeDocument/2006/relationships/hyperlink" Target="https://dalil.kg/document/202591#st_20" TargetMode="External"/><Relationship Id="rId3yd80fsbt69aifsitawm6" Type="http://schemas.openxmlformats.org/officeDocument/2006/relationships/hyperlink" Target="https://dalil.kg/document/202591#st_21" TargetMode="External"/><Relationship Id="rIdc_-wg7vvhu9umjcdwzlnc" Type="http://schemas.openxmlformats.org/officeDocument/2006/relationships/hyperlink" Target="https://dalil.kg/document/202591#st_22" TargetMode="External"/><Relationship Id="rIdihebnzr7ke88mdjrb8acn" Type="http://schemas.openxmlformats.org/officeDocument/2006/relationships/hyperlink" Target="https://dalil.kg/document/202591#st_23" TargetMode="External"/><Relationship Id="rIdhtxc2y0r9lqxoqsj7asnd" Type="http://schemas.openxmlformats.org/officeDocument/2006/relationships/hyperlink" Target="https://dalil.kg/document/202591#st_22" TargetMode="External"/><Relationship Id="rIdgtzhxk4tqvk2ynybusbwn" Type="http://schemas.openxmlformats.org/officeDocument/2006/relationships/hyperlink" Target="https://dalil.kg/document/202591#st_23" TargetMode="External"/><Relationship Id="rId5rcvkbm2pm-tmdfo9s5ke" Type="http://schemas.openxmlformats.org/officeDocument/2006/relationships/hyperlink" Target="https://dalil.kg/document/202591#st_25" TargetMode="External"/><Relationship Id="rIdkw4mljnodffh9hiheqm-d" Type="http://schemas.openxmlformats.org/officeDocument/2006/relationships/hyperlink" Target="https://dalil.kg/document/202591#st_27" TargetMode="External"/><Relationship Id="rIdcxjn7cmkjwmatvabp0yai" Type="http://schemas.openxmlformats.org/officeDocument/2006/relationships/hyperlink" Target="https://dalil.kg/document/202591#st_28" TargetMode="External"/><Relationship Id="rId4mgiw73nlvx1bjcqvrmvf" Type="http://schemas.openxmlformats.org/officeDocument/2006/relationships/hyperlink" Target="https://dalil.kg/document/202591#st_29" TargetMode="External"/><Relationship Id="rIdg9u1noth9z-datoarertf" Type="http://schemas.openxmlformats.org/officeDocument/2006/relationships/hyperlink" Target="https://dalil.kg/document/202591#st_30" TargetMode="External"/><Relationship Id="rIdk0ghwktuqayl8las2dvk2" Type="http://schemas.openxmlformats.org/officeDocument/2006/relationships/hyperlink" Target="https://dalil.kg/document/202591#st_31_1" TargetMode="External"/><Relationship Id="rIdzvgbkuwvm9gjoqwc_k1g2" Type="http://schemas.openxmlformats.org/officeDocument/2006/relationships/hyperlink" Target="https://dalil.kg/document/202591#st_31_1" TargetMode="External"/><Relationship Id="rIdojmnjz7el-5z7iatvz0j4" Type="http://schemas.openxmlformats.org/officeDocument/2006/relationships/hyperlink" Target="https://dalil.kg/document/202591#st_33_1"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zrym6nmakjmm7ijzec-0" Type="http://schemas.openxmlformats.org/officeDocument/2006/relationships/hyperlink" Target="https://dalil.kg/document/230023496" TargetMode="External"/><Relationship Id="rIdzx-u_67a7tlxzo51wpm1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2026-09-23T17:20:03.247Z</dcterms:created>
  <dcterms:modified xsi:type="dcterms:W3CDTF">2026-09-23T17:20:03.247Z</dcterms:modified>
</cp:coreProperties>
</file>

<file path=docProps/custom.xml><?xml version="1.0" encoding="utf-8"?>
<Properties xmlns="http://schemas.openxmlformats.org/officeDocument/2006/custom-properties" xmlns:vt="http://schemas.openxmlformats.org/officeDocument/2006/docPropsVTypes"/>
</file>